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D4E4C">
      <w:pPr>
        <w:spacing w:line="360" w:lineRule="auto"/>
        <w:jc w:val="center"/>
        <w:rPr>
          <w:rFonts w:hint="eastAsia" w:ascii="宋体" w:hAnsi="宋体" w:eastAsia="宋体" w:cs="宋体"/>
          <w:spacing w:val="12"/>
        </w:rPr>
      </w:pPr>
    </w:p>
    <w:p w14:paraId="3052144C">
      <w:pPr>
        <w:pStyle w:val="2"/>
        <w:rPr>
          <w:rFonts w:hint="eastAsia" w:ascii="宋体" w:hAnsi="宋体" w:eastAsia="宋体" w:cs="宋体"/>
        </w:rPr>
      </w:pPr>
    </w:p>
    <w:p w14:paraId="75D0D88C">
      <w:pPr>
        <w:spacing w:line="360" w:lineRule="auto"/>
        <w:ind w:firstLine="928" w:firstLineChars="200"/>
        <w:jc w:val="both"/>
        <w:rPr>
          <w:rFonts w:hint="default" w:ascii="宋体" w:hAnsi="宋体" w:eastAsia="宋体" w:cs="宋体"/>
          <w:spacing w:val="12"/>
          <w:sz w:val="44"/>
          <w:szCs w:val="44"/>
          <w:u w:val="single"/>
          <w:lang w:val="en-US" w:eastAsia="zh-CN"/>
        </w:rPr>
      </w:pPr>
      <w:r>
        <w:rPr>
          <w:rFonts w:hint="eastAsia" w:ascii="宋体" w:hAnsi="宋体" w:cs="宋体"/>
          <w:spacing w:val="12"/>
          <w:sz w:val="44"/>
          <w:szCs w:val="44"/>
          <w:u w:val="single"/>
          <w:lang w:val="en-US" w:eastAsia="zh-CN"/>
        </w:rPr>
        <w:t xml:space="preserve">            （项目名称）       </w:t>
      </w:r>
    </w:p>
    <w:p w14:paraId="6CD0E33F">
      <w:pPr>
        <w:spacing w:line="360" w:lineRule="auto"/>
        <w:jc w:val="center"/>
        <w:rPr>
          <w:rFonts w:hint="eastAsia" w:ascii="宋体" w:hAnsi="宋体" w:eastAsia="宋体" w:cs="宋体"/>
          <w:spacing w:val="12"/>
          <w:sz w:val="44"/>
          <w:szCs w:val="44"/>
        </w:rPr>
      </w:pPr>
    </w:p>
    <w:p w14:paraId="44DD6EC5">
      <w:pPr>
        <w:spacing w:line="360" w:lineRule="auto"/>
        <w:jc w:val="center"/>
        <w:rPr>
          <w:rFonts w:hint="eastAsia" w:ascii="宋体" w:hAnsi="宋体" w:eastAsia="宋体" w:cs="宋体"/>
          <w:spacing w:val="12"/>
          <w:sz w:val="44"/>
          <w:szCs w:val="44"/>
        </w:rPr>
      </w:pPr>
    </w:p>
    <w:p w14:paraId="4C38E3D0">
      <w:pPr>
        <w:pStyle w:val="2"/>
        <w:rPr>
          <w:rFonts w:hint="eastAsia" w:ascii="宋体" w:hAnsi="宋体" w:eastAsia="宋体" w:cs="宋体"/>
        </w:rPr>
      </w:pPr>
    </w:p>
    <w:p w14:paraId="0405C7FA">
      <w:pPr>
        <w:spacing w:line="360" w:lineRule="auto"/>
        <w:jc w:val="center"/>
        <w:rPr>
          <w:rFonts w:hint="eastAsia" w:ascii="宋体" w:hAnsi="宋体" w:eastAsia="宋体" w:cs="宋体"/>
          <w:spacing w:val="12"/>
          <w:sz w:val="44"/>
          <w:szCs w:val="44"/>
        </w:rPr>
      </w:pPr>
    </w:p>
    <w:p w14:paraId="767ED21F">
      <w:pPr>
        <w:pStyle w:val="2"/>
        <w:rPr>
          <w:rFonts w:hint="eastAsia" w:ascii="宋体" w:hAnsi="宋体" w:eastAsia="宋体" w:cs="宋体"/>
        </w:rPr>
      </w:pPr>
    </w:p>
    <w:p w14:paraId="3C86A508">
      <w:pPr>
        <w:spacing w:line="360" w:lineRule="auto"/>
        <w:jc w:val="center"/>
        <w:rPr>
          <w:rFonts w:hint="eastAsia" w:ascii="宋体" w:hAnsi="宋体" w:eastAsia="宋体" w:cs="宋体"/>
          <w:spacing w:val="12"/>
          <w:sz w:val="44"/>
          <w:szCs w:val="44"/>
        </w:rPr>
      </w:pPr>
    </w:p>
    <w:p w14:paraId="1CCCFE97">
      <w:pPr>
        <w:spacing w:line="360" w:lineRule="auto"/>
        <w:jc w:val="center"/>
        <w:rPr>
          <w:rFonts w:hint="eastAsia" w:ascii="宋体" w:hAnsi="宋体" w:eastAsia="宋体" w:cs="宋体"/>
          <w:spacing w:val="12"/>
          <w:sz w:val="44"/>
          <w:szCs w:val="44"/>
        </w:rPr>
      </w:pPr>
      <w:r>
        <w:rPr>
          <w:rFonts w:hint="eastAsia" w:ascii="宋体" w:hAnsi="宋体" w:eastAsia="宋体" w:cs="宋体"/>
          <w:spacing w:val="12"/>
          <w:sz w:val="44"/>
          <w:szCs w:val="44"/>
        </w:rPr>
        <w:t>政府采购合同书</w:t>
      </w:r>
    </w:p>
    <w:p w14:paraId="1991AF90">
      <w:pPr>
        <w:spacing w:line="360" w:lineRule="auto"/>
        <w:jc w:val="center"/>
        <w:rPr>
          <w:rFonts w:hint="eastAsia" w:ascii="宋体" w:hAnsi="宋体" w:eastAsia="宋体" w:cs="宋体"/>
          <w:spacing w:val="12"/>
          <w:sz w:val="44"/>
          <w:szCs w:val="44"/>
        </w:rPr>
      </w:pPr>
      <w:r>
        <w:rPr>
          <w:rFonts w:hint="eastAsia" w:ascii="宋体" w:hAnsi="宋体" w:eastAsia="宋体" w:cs="宋体"/>
          <w:spacing w:val="12"/>
          <w:sz w:val="32"/>
          <w:szCs w:val="32"/>
        </w:rPr>
        <w:t xml:space="preserve">                   </w:t>
      </w:r>
    </w:p>
    <w:p w14:paraId="62FF1A74">
      <w:pPr>
        <w:spacing w:line="360" w:lineRule="auto"/>
        <w:rPr>
          <w:rFonts w:hint="eastAsia" w:ascii="宋体" w:hAnsi="宋体" w:eastAsia="宋体" w:cs="宋体"/>
          <w:spacing w:val="12"/>
          <w:sz w:val="32"/>
          <w:szCs w:val="32"/>
          <w:u w:val="single"/>
        </w:rPr>
      </w:pPr>
    </w:p>
    <w:p w14:paraId="55035C00">
      <w:pPr>
        <w:pStyle w:val="5"/>
        <w:ind w:firstLine="0"/>
        <w:rPr>
          <w:rFonts w:hint="eastAsia" w:ascii="宋体" w:hAnsi="宋体" w:eastAsia="宋体" w:cs="宋体"/>
          <w:spacing w:val="12"/>
          <w:sz w:val="32"/>
          <w:szCs w:val="32"/>
          <w:u w:val="single"/>
        </w:rPr>
      </w:pPr>
    </w:p>
    <w:p w14:paraId="60F3F929">
      <w:pPr>
        <w:rPr>
          <w:rFonts w:hint="eastAsia" w:ascii="宋体" w:hAnsi="宋体" w:eastAsia="宋体" w:cs="宋体"/>
        </w:rPr>
      </w:pPr>
    </w:p>
    <w:p w14:paraId="27C1382A">
      <w:pPr>
        <w:pStyle w:val="2"/>
        <w:ind w:left="0" w:leftChars="0" w:firstLine="0" w:firstLineChars="0"/>
        <w:rPr>
          <w:rFonts w:hint="eastAsia" w:ascii="宋体" w:hAnsi="宋体" w:eastAsia="宋体" w:cs="宋体"/>
        </w:rPr>
      </w:pPr>
    </w:p>
    <w:p w14:paraId="4DAB1A4D">
      <w:pPr>
        <w:pStyle w:val="2"/>
        <w:ind w:left="0" w:leftChars="0" w:firstLine="0" w:firstLineChars="0"/>
        <w:rPr>
          <w:rFonts w:hint="eastAsia" w:ascii="宋体" w:hAnsi="宋体" w:eastAsia="宋体" w:cs="宋体"/>
        </w:rPr>
      </w:pPr>
    </w:p>
    <w:p w14:paraId="798ECAA0">
      <w:pPr>
        <w:rPr>
          <w:rFonts w:hint="eastAsia" w:ascii="宋体" w:hAnsi="宋体" w:eastAsia="宋体" w:cs="宋体"/>
        </w:rPr>
      </w:pPr>
    </w:p>
    <w:p w14:paraId="675FB207">
      <w:pPr>
        <w:keepNext w:val="0"/>
        <w:keepLines w:val="0"/>
        <w:pageBreakBefore w:val="0"/>
        <w:widowControl w:val="0"/>
        <w:kinsoku/>
        <w:wordWrap/>
        <w:overflowPunct/>
        <w:topLinePunct w:val="0"/>
        <w:autoSpaceDE/>
        <w:autoSpaceDN/>
        <w:bidi w:val="0"/>
        <w:adjustRightInd/>
        <w:snapToGrid/>
        <w:spacing w:line="720" w:lineRule="auto"/>
        <w:ind w:firstLine="1376" w:firstLineChars="400"/>
        <w:jc w:val="left"/>
        <w:textAlignment w:val="auto"/>
        <w:rPr>
          <w:rFonts w:hint="eastAsia" w:ascii="宋体" w:hAnsi="宋体" w:eastAsia="宋体" w:cs="宋体"/>
          <w:spacing w:val="12"/>
          <w:sz w:val="32"/>
          <w:szCs w:val="32"/>
        </w:rPr>
      </w:pPr>
      <w:r>
        <w:rPr>
          <w:rFonts w:hint="eastAsia" w:ascii="宋体" w:hAnsi="宋体" w:eastAsia="宋体" w:cs="宋体"/>
          <w:spacing w:val="12"/>
          <w:sz w:val="32"/>
          <w:szCs w:val="32"/>
        </w:rPr>
        <w:t>采购人：渭南市临渭区</w:t>
      </w:r>
      <w:r>
        <w:rPr>
          <w:rFonts w:hint="eastAsia" w:ascii="宋体" w:hAnsi="宋体" w:cs="宋体"/>
          <w:spacing w:val="12"/>
          <w:sz w:val="32"/>
          <w:szCs w:val="32"/>
          <w:lang w:val="en-US" w:eastAsia="zh-CN"/>
        </w:rPr>
        <w:t>中医医院</w:t>
      </w:r>
    </w:p>
    <w:p w14:paraId="7A7C51BD">
      <w:pPr>
        <w:keepNext w:val="0"/>
        <w:keepLines w:val="0"/>
        <w:pageBreakBefore w:val="0"/>
        <w:widowControl w:val="0"/>
        <w:kinsoku/>
        <w:wordWrap/>
        <w:overflowPunct/>
        <w:topLinePunct w:val="0"/>
        <w:autoSpaceDE/>
        <w:autoSpaceDN/>
        <w:bidi w:val="0"/>
        <w:adjustRightInd/>
        <w:snapToGrid/>
        <w:spacing w:line="720" w:lineRule="auto"/>
        <w:ind w:firstLine="1376" w:firstLineChars="400"/>
        <w:textAlignment w:val="auto"/>
        <w:rPr>
          <w:rFonts w:hint="eastAsia" w:ascii="宋体" w:hAnsi="宋体" w:eastAsia="宋体" w:cs="宋体"/>
          <w:spacing w:val="12"/>
          <w:sz w:val="32"/>
          <w:szCs w:val="32"/>
        </w:rPr>
      </w:pPr>
      <w:r>
        <w:rPr>
          <w:rFonts w:hint="eastAsia" w:ascii="宋体" w:hAnsi="宋体" w:eastAsia="宋体" w:cs="宋体"/>
          <w:spacing w:val="12"/>
          <w:sz w:val="32"/>
          <w:szCs w:val="32"/>
        </w:rPr>
        <w:t>供应商：</w:t>
      </w:r>
    </w:p>
    <w:p w14:paraId="631BC62E">
      <w:pPr>
        <w:pStyle w:val="3"/>
        <w:rPr>
          <w:rFonts w:hint="eastAsia"/>
        </w:rPr>
      </w:pPr>
    </w:p>
    <w:p w14:paraId="66C84B47">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sectPr>
          <w:pgSz w:w="11906" w:h="16838"/>
          <w:pgMar w:top="1417" w:right="1417" w:bottom="1417" w:left="1417" w:header="851" w:footer="992" w:gutter="0"/>
          <w:cols w:space="720" w:num="1"/>
          <w:docGrid w:type="lines" w:linePitch="312" w:charSpace="0"/>
        </w:sectPr>
      </w:pPr>
    </w:p>
    <w:p w14:paraId="43885E56">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pPr>
      <w:r>
        <w:rPr>
          <w:rFonts w:hint="eastAsia" w:ascii="宋体" w:hAnsi="宋体" w:eastAsia="宋体" w:cs="宋体"/>
          <w:sz w:val="24"/>
        </w:rPr>
        <w:t>签订地点：渭南市临渭区</w:t>
      </w:r>
      <w:r>
        <w:rPr>
          <w:rFonts w:hint="eastAsia" w:ascii="宋体" w:hAnsi="宋体" w:eastAsia="宋体" w:cs="宋体"/>
          <w:sz w:val="24"/>
          <w:lang w:val="en-US" w:eastAsia="zh-CN"/>
        </w:rPr>
        <w:t>中医医院</w:t>
      </w:r>
      <w:r>
        <w:rPr>
          <w:rFonts w:hint="eastAsia" w:ascii="宋体" w:hAnsi="宋体" w:eastAsia="宋体" w:cs="宋体"/>
          <w:sz w:val="24"/>
        </w:rPr>
        <w:t xml:space="preserve">  </w:t>
      </w:r>
    </w:p>
    <w:p w14:paraId="6B378983">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pPr>
      <w:r>
        <w:rPr>
          <w:rFonts w:hint="eastAsia" w:ascii="宋体" w:hAnsi="宋体" w:eastAsia="宋体" w:cs="宋体"/>
          <w:sz w:val="24"/>
        </w:rPr>
        <w:t>项目编号：</w:t>
      </w:r>
    </w:p>
    <w:p w14:paraId="77943A16">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pPr>
      <w:r>
        <w:rPr>
          <w:rFonts w:hint="eastAsia" w:ascii="宋体" w:hAnsi="宋体" w:eastAsia="宋体" w:cs="宋体"/>
          <w:sz w:val="24"/>
        </w:rPr>
        <w:t>签订时间：    年    月    日</w:t>
      </w:r>
    </w:p>
    <w:p w14:paraId="12D58E57">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pPr>
      <w:r>
        <w:rPr>
          <w:rFonts w:hint="eastAsia" w:ascii="宋体" w:hAnsi="宋体" w:eastAsia="宋体" w:cs="宋体"/>
          <w:sz w:val="24"/>
        </w:rPr>
        <w:t>采购人：渭南市临渭区</w:t>
      </w:r>
      <w:r>
        <w:rPr>
          <w:rFonts w:hint="eastAsia" w:ascii="宋体" w:hAnsi="宋体" w:eastAsia="宋体" w:cs="宋体"/>
          <w:sz w:val="24"/>
          <w:lang w:val="en-US" w:eastAsia="zh-CN"/>
        </w:rPr>
        <w:t>中医医院</w:t>
      </w:r>
    </w:p>
    <w:p w14:paraId="594B8150">
      <w:pPr>
        <w:keepNext w:val="0"/>
        <w:keepLines w:val="0"/>
        <w:pageBreakBefore w:val="0"/>
        <w:kinsoku/>
        <w:wordWrap/>
        <w:overflowPunct/>
        <w:topLinePunct w:val="0"/>
        <w:bidi w:val="0"/>
        <w:spacing w:line="520" w:lineRule="exact"/>
        <w:textAlignment w:val="auto"/>
        <w:rPr>
          <w:rFonts w:hint="eastAsia" w:ascii="宋体" w:hAnsi="宋体" w:eastAsia="宋体" w:cs="宋体"/>
          <w:sz w:val="24"/>
        </w:rPr>
      </w:pPr>
      <w:r>
        <w:rPr>
          <w:rFonts w:hint="eastAsia" w:ascii="宋体" w:hAnsi="宋体" w:eastAsia="宋体" w:cs="宋体"/>
          <w:sz w:val="24"/>
        </w:rPr>
        <w:t>供应商：</w:t>
      </w:r>
    </w:p>
    <w:p w14:paraId="6A663CD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根据</w:t>
      </w:r>
      <w:r>
        <w:rPr>
          <w:rFonts w:hint="eastAsia" w:ascii="宋体" w:hAnsi="宋体" w:cs="宋体"/>
          <w:sz w:val="24"/>
          <w:u w:val="single"/>
          <w:lang w:val="en-US" w:eastAsia="zh-CN"/>
        </w:rPr>
        <w:t xml:space="preserve">            （项目名称）   </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1C0EB6F0">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一、合同文件</w:t>
      </w:r>
    </w:p>
    <w:p w14:paraId="1788AE79">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1.协议书条款；</w:t>
      </w:r>
    </w:p>
    <w:p w14:paraId="433EE596">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2.竞争性磋商文件；</w:t>
      </w:r>
    </w:p>
    <w:p w14:paraId="4BDF1505">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3.磋商响应文件；</w:t>
      </w:r>
    </w:p>
    <w:p w14:paraId="569F9C0B">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4.成交通知书；</w:t>
      </w:r>
    </w:p>
    <w:p w14:paraId="090A46B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5.其他。</w:t>
      </w:r>
    </w:p>
    <w:p w14:paraId="40A22044">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59AEB4AC">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bCs/>
          <w:sz w:val="24"/>
        </w:rPr>
      </w:pPr>
      <w:bookmarkStart w:id="0" w:name="_Toc9090"/>
      <w:r>
        <w:rPr>
          <w:rFonts w:hint="eastAsia" w:ascii="宋体" w:hAnsi="宋体" w:eastAsia="宋体" w:cs="宋体"/>
          <w:b/>
          <w:bCs/>
          <w:sz w:val="24"/>
        </w:rPr>
        <w:t>二、合同价款</w:t>
      </w:r>
      <w:bookmarkEnd w:id="0"/>
    </w:p>
    <w:p w14:paraId="7E1806DF">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（一）</w:t>
      </w:r>
      <w:r>
        <w:rPr>
          <w:rFonts w:hint="eastAsia" w:ascii="宋体" w:hAnsi="宋体" w:eastAsia="宋体" w:cs="宋体"/>
          <w:bCs/>
          <w:color w:val="000000"/>
          <w:spacing w:val="8"/>
          <w:sz w:val="24"/>
        </w:rPr>
        <w:t>合同总价款（人民币）：大写</w:t>
      </w:r>
      <w:r>
        <w:rPr>
          <w:rFonts w:hint="eastAsia" w:ascii="宋体" w:hAnsi="宋体" w:cs="宋体"/>
          <w:bCs/>
          <w:color w:val="000000"/>
          <w:spacing w:val="8"/>
          <w:sz w:val="24"/>
          <w:u w:val="single"/>
          <w:lang w:val="en-US" w:eastAsia="zh-CN"/>
        </w:rPr>
        <w:t xml:space="preserve">         </w:t>
      </w:r>
      <w:r>
        <w:rPr>
          <w:rFonts w:hint="eastAsia" w:ascii="宋体" w:hAnsi="宋体" w:eastAsia="宋体" w:cs="宋体"/>
          <w:bCs/>
          <w:color w:val="000000"/>
          <w:spacing w:val="8"/>
          <w:sz w:val="24"/>
        </w:rPr>
        <w:t>；小写</w:t>
      </w:r>
      <w:r>
        <w:rPr>
          <w:rFonts w:hint="eastAsia" w:ascii="宋体" w:hAnsi="宋体" w:eastAsia="宋体" w:cs="宋体"/>
          <w:sz w:val="24"/>
        </w:rPr>
        <w:t>¥</w:t>
      </w:r>
      <w:r>
        <w:rPr>
          <w:rFonts w:hint="eastAsia" w:ascii="宋体" w:hAnsi="宋体" w:cs="宋体"/>
          <w:bCs/>
          <w:color w:val="000000"/>
          <w:spacing w:val="8"/>
          <w:sz w:val="24"/>
          <w:u w:val="single"/>
          <w:lang w:val="en-US" w:eastAsia="zh-CN"/>
        </w:rPr>
        <w:t xml:space="preserve">        </w:t>
      </w:r>
      <w:r>
        <w:rPr>
          <w:rFonts w:hint="eastAsia" w:ascii="宋体" w:hAnsi="宋体" w:eastAsia="宋体" w:cs="宋体"/>
          <w:bCs/>
          <w:color w:val="000000"/>
          <w:spacing w:val="8"/>
          <w:sz w:val="24"/>
        </w:rPr>
        <w:t>元</w:t>
      </w:r>
      <w:r>
        <w:rPr>
          <w:rFonts w:hint="eastAsia" w:ascii="宋体" w:hAnsi="宋体" w:eastAsia="宋体" w:cs="宋体"/>
          <w:sz w:val="24"/>
        </w:rPr>
        <w:t>。</w:t>
      </w:r>
    </w:p>
    <w:p w14:paraId="74CD94F2">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（二）合同总价款是指成本次工作所有内容包括完成本次设计的所有内容，包括但不限于项目</w:t>
      </w:r>
      <w:r>
        <w:rPr>
          <w:rFonts w:hint="eastAsia" w:ascii="宋体" w:hAnsi="宋体" w:cs="宋体"/>
          <w:sz w:val="24"/>
          <w:lang w:val="en-US" w:eastAsia="zh-CN"/>
        </w:rPr>
        <w:t>服务费</w:t>
      </w:r>
      <w:r>
        <w:rPr>
          <w:rFonts w:hint="eastAsia" w:ascii="宋体" w:hAnsi="宋体" w:eastAsia="宋体" w:cs="宋体"/>
          <w:sz w:val="24"/>
        </w:rPr>
        <w:t>、人工费、材料费、交通费、住宿费、管理费、</w:t>
      </w:r>
      <w:r>
        <w:rPr>
          <w:rFonts w:hint="eastAsia" w:ascii="宋体" w:hAnsi="宋体" w:eastAsia="宋体" w:cs="宋体"/>
          <w:sz w:val="24"/>
          <w:lang w:val="en-US" w:eastAsia="zh-CN"/>
        </w:rPr>
        <w:t>设计</w:t>
      </w:r>
      <w:r>
        <w:rPr>
          <w:rFonts w:hint="eastAsia" w:ascii="宋体" w:hAnsi="宋体" w:eastAsia="宋体" w:cs="宋体"/>
          <w:sz w:val="24"/>
        </w:rPr>
        <w:t>费、税金、利润、磋商文件明示及暗示所有风险等所有费用，服务期内采购人不再增加任何费用。</w:t>
      </w:r>
    </w:p>
    <w:p w14:paraId="67F1C48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（三）合同总价一次性包死，不受市场价格变化因素的影响。</w:t>
      </w:r>
    </w:p>
    <w:p w14:paraId="5CCBE0F5">
      <w:pPr>
        <w:keepNext w:val="0"/>
        <w:keepLines w:val="0"/>
        <w:pageBreakBefore w:val="0"/>
        <w:widowControl w:val="0"/>
        <w:kinsoku/>
        <w:wordWrap w:val="0"/>
        <w:overflowPunct/>
        <w:topLinePunct/>
        <w:autoSpaceDE/>
        <w:autoSpaceDN/>
        <w:bidi w:val="0"/>
        <w:adjustRightInd/>
        <w:snapToGrid/>
        <w:spacing w:line="520" w:lineRule="exact"/>
        <w:ind w:firstLine="482" w:firstLineChars="200"/>
        <w:textAlignment w:val="auto"/>
        <w:rPr>
          <w:rFonts w:hint="eastAsia" w:ascii="宋体" w:hAnsi="宋体" w:eastAsia="宋体" w:cs="宋体"/>
          <w:b/>
          <w:sz w:val="24"/>
        </w:rPr>
      </w:pPr>
      <w:bookmarkStart w:id="1" w:name="_Toc5628"/>
      <w:r>
        <w:rPr>
          <w:rFonts w:hint="eastAsia" w:ascii="宋体" w:hAnsi="宋体" w:eastAsia="宋体" w:cs="宋体"/>
          <w:b/>
          <w:sz w:val="24"/>
        </w:rPr>
        <w:t>三、款项结算</w:t>
      </w:r>
      <w:bookmarkEnd w:id="1"/>
    </w:p>
    <w:p w14:paraId="21BA8664">
      <w:pPr>
        <w:keepNext w:val="0"/>
        <w:keepLines w:val="0"/>
        <w:pageBreakBefore w:val="0"/>
        <w:widowControl w:val="0"/>
        <w:kinsoku/>
        <w:wordWrap w:val="0"/>
        <w:overflowPunct/>
        <w:topLinePunct/>
        <w:autoSpaceDE/>
        <w:autoSpaceDN/>
        <w:bidi w:val="0"/>
        <w:adjustRightInd/>
        <w:snapToGrid/>
        <w:spacing w:line="520" w:lineRule="exact"/>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（一）合同价款的支付：</w:t>
      </w:r>
      <w:r>
        <w:rPr>
          <w:rFonts w:hint="eastAsia" w:ascii="宋体" w:hAnsi="宋体" w:eastAsia="宋体" w:cs="宋体"/>
          <w:kern w:val="0"/>
          <w:sz w:val="24"/>
          <w:lang w:val="en-US" w:eastAsia="zh-CN"/>
        </w:rPr>
        <w:t>合同签订后根据服务进度，按照比例支付服务费。完成全部项目服务内容并提供相应档案资料，支付服务费的70%，剩余30%服务费于服务验收合格后一次性付清。</w:t>
      </w:r>
    </w:p>
    <w:p w14:paraId="73613515">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（二）结算方式：银行转账。</w:t>
      </w:r>
    </w:p>
    <w:p w14:paraId="09E11E46">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sz w:val="24"/>
        </w:rPr>
      </w:pPr>
      <w:bookmarkStart w:id="2" w:name="_Toc12029"/>
      <w:r>
        <w:rPr>
          <w:rFonts w:hint="eastAsia" w:ascii="宋体" w:hAnsi="宋体" w:eastAsia="宋体" w:cs="宋体"/>
          <w:b/>
          <w:sz w:val="24"/>
        </w:rPr>
        <w:t>四、服务地点、</w:t>
      </w:r>
      <w:bookmarkEnd w:id="2"/>
      <w:r>
        <w:rPr>
          <w:rFonts w:hint="eastAsia" w:ascii="宋体" w:hAnsi="宋体" w:eastAsia="宋体" w:cs="宋体"/>
          <w:b/>
          <w:sz w:val="24"/>
        </w:rPr>
        <w:t>服务周期及合同履行期限</w:t>
      </w:r>
    </w:p>
    <w:p w14:paraId="523F824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（一）服务地点：</w:t>
      </w:r>
      <w:r>
        <w:rPr>
          <w:rFonts w:hint="eastAsia" w:ascii="宋体" w:hAnsi="宋体" w:eastAsia="宋体" w:cs="宋体"/>
          <w:sz w:val="24"/>
          <w:u w:val="single"/>
        </w:rPr>
        <w:t>渭南市</w:t>
      </w:r>
      <w:r>
        <w:rPr>
          <w:rFonts w:hint="eastAsia" w:ascii="宋体" w:hAnsi="宋体" w:eastAsia="宋体" w:cs="宋体"/>
          <w:sz w:val="24"/>
          <w:u w:val="single"/>
          <w:lang w:val="en-US" w:eastAsia="zh-CN"/>
        </w:rPr>
        <w:t>临渭区</w:t>
      </w:r>
      <w:r>
        <w:rPr>
          <w:rFonts w:hint="eastAsia" w:ascii="宋体" w:hAnsi="宋体" w:eastAsia="宋体" w:cs="宋体"/>
          <w:sz w:val="24"/>
        </w:rPr>
        <w:t>。</w:t>
      </w:r>
    </w:p>
    <w:p w14:paraId="1A46BF3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（二）</w:t>
      </w:r>
      <w:r>
        <w:rPr>
          <w:rFonts w:hint="eastAsia" w:ascii="宋体" w:hAnsi="宋体" w:eastAsia="宋体" w:cs="宋体"/>
          <w:kern w:val="0"/>
          <w:sz w:val="24"/>
        </w:rPr>
        <w:t>服务</w:t>
      </w:r>
      <w:r>
        <w:rPr>
          <w:rFonts w:hint="eastAsia" w:ascii="宋体" w:hAnsi="宋体" w:eastAsia="宋体" w:cs="宋体"/>
          <w:kern w:val="0"/>
          <w:sz w:val="24"/>
          <w:lang w:val="en-US" w:eastAsia="zh-CN"/>
        </w:rPr>
        <w:t>期限</w:t>
      </w:r>
      <w:r>
        <w:rPr>
          <w:rFonts w:hint="eastAsia" w:ascii="宋体" w:hAnsi="宋体" w:eastAsia="宋体" w:cs="宋体"/>
          <w:sz w:val="24"/>
        </w:rPr>
        <w:t>：</w:t>
      </w:r>
      <w:r>
        <w:rPr>
          <w:rFonts w:hint="eastAsia" w:ascii="宋体" w:hAnsi="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6AC86D19">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default" w:ascii="宋体" w:hAnsi="宋体" w:eastAsia="宋体" w:cs="宋体"/>
          <w:b w:val="0"/>
          <w:bCs w:val="0"/>
          <w:kern w:val="0"/>
          <w:sz w:val="24"/>
          <w:lang w:val="en-US" w:eastAsia="zh-CN"/>
        </w:rPr>
      </w:pPr>
      <w:r>
        <w:rPr>
          <w:rFonts w:hint="eastAsia" w:ascii="宋体" w:hAnsi="宋体" w:cs="宋体"/>
          <w:b w:val="0"/>
          <w:bCs w:val="0"/>
          <w:kern w:val="0"/>
          <w:sz w:val="24"/>
          <w:lang w:eastAsia="zh-CN"/>
        </w:rPr>
        <w:t>（</w:t>
      </w:r>
      <w:r>
        <w:rPr>
          <w:rFonts w:hint="eastAsia" w:ascii="宋体" w:hAnsi="宋体" w:cs="宋体"/>
          <w:b w:val="0"/>
          <w:bCs w:val="0"/>
          <w:kern w:val="0"/>
          <w:sz w:val="24"/>
          <w:lang w:val="en-US" w:eastAsia="zh-CN"/>
        </w:rPr>
        <w:t>三</w:t>
      </w:r>
      <w:r>
        <w:rPr>
          <w:rFonts w:hint="eastAsia" w:ascii="宋体" w:hAnsi="宋体" w:cs="宋体"/>
          <w:b w:val="0"/>
          <w:bCs w:val="0"/>
          <w:kern w:val="0"/>
          <w:sz w:val="24"/>
          <w:lang w:eastAsia="zh-CN"/>
        </w:rPr>
        <w:t>）</w:t>
      </w:r>
      <w:r>
        <w:rPr>
          <w:rFonts w:hint="eastAsia" w:ascii="宋体" w:hAnsi="宋体" w:cs="宋体"/>
          <w:b w:val="0"/>
          <w:bCs w:val="0"/>
          <w:kern w:val="0"/>
          <w:sz w:val="24"/>
          <w:lang w:val="en-US" w:eastAsia="zh-CN"/>
        </w:rPr>
        <w:t>运维期限：</w:t>
      </w:r>
      <w:r>
        <w:rPr>
          <w:rFonts w:hint="eastAsia" w:ascii="宋体" w:hAnsi="宋体" w:cs="宋体"/>
          <w:b w:val="0"/>
          <w:bCs w:val="0"/>
          <w:kern w:val="0"/>
          <w:sz w:val="24"/>
          <w:u w:val="single"/>
          <w:lang w:val="en-US" w:eastAsia="zh-CN"/>
        </w:rPr>
        <w:t>2年（运维期内采购人不再另行支付费用）</w:t>
      </w:r>
      <w:r>
        <w:rPr>
          <w:rFonts w:hint="eastAsia" w:ascii="宋体" w:hAnsi="宋体" w:cs="宋体"/>
          <w:b w:val="0"/>
          <w:bCs w:val="0"/>
          <w:kern w:val="0"/>
          <w:sz w:val="24"/>
          <w:lang w:val="en-US" w:eastAsia="zh-CN"/>
        </w:rPr>
        <w:t xml:space="preserve"> </w:t>
      </w:r>
    </w:p>
    <w:p w14:paraId="73596992">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五、技术资料</w:t>
      </w:r>
      <w:bookmarkStart w:id="12" w:name="_GoBack"/>
      <w:bookmarkEnd w:id="12"/>
    </w:p>
    <w:p w14:paraId="27F08FC3">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w:t>
      </w:r>
      <w:bookmarkStart w:id="3" w:name="_Hlk73203142"/>
      <w:r>
        <w:rPr>
          <w:rFonts w:hint="eastAsia" w:ascii="宋体" w:hAnsi="宋体" w:eastAsia="宋体" w:cs="宋体"/>
          <w:kern w:val="0"/>
          <w:sz w:val="24"/>
        </w:rPr>
        <w:t>供应商</w:t>
      </w:r>
      <w:bookmarkEnd w:id="3"/>
      <w:r>
        <w:rPr>
          <w:rFonts w:hint="eastAsia" w:ascii="宋体" w:hAnsi="宋体" w:eastAsia="宋体" w:cs="宋体"/>
          <w:kern w:val="0"/>
          <w:sz w:val="24"/>
        </w:rPr>
        <w:t>应按时按质向采购人提供项目成果文件。</w:t>
      </w:r>
    </w:p>
    <w:p w14:paraId="00EE2952">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没有采购人事先书面同意，供应商不得将由采购人提供的有关合同或任何合同条文、规格、计划、样品或资料提供给与履行本合同无关的任何其他人。即使向履行本合同有关的人员提供，也应注意保密并限于履行合同的必需范围。</w:t>
      </w:r>
    </w:p>
    <w:p w14:paraId="538E1CA1">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r>
        <w:rPr>
          <w:rFonts w:hint="eastAsia" w:ascii="宋体" w:hAnsi="宋体" w:eastAsia="宋体" w:cs="宋体"/>
          <w:b/>
          <w:kern w:val="0"/>
          <w:sz w:val="24"/>
        </w:rPr>
        <w:t>六、技术情报的保密</w:t>
      </w:r>
    </w:p>
    <w:p w14:paraId="07000FBF">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1.甲乙双方商定，供应商取得的所有原始技术资料在工作结束后交还采购人，供应商不得对外泄露。</w:t>
      </w:r>
    </w:p>
    <w:p w14:paraId="4C0B84B9">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工作所需基础资料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3C769E34">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七、转让或分包</w:t>
      </w:r>
    </w:p>
    <w:p w14:paraId="680A8F5E">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1.本合同范围的项目服务内容，应由供应商直接服务，不得转让他人；</w:t>
      </w:r>
    </w:p>
    <w:p w14:paraId="0A31E503">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2.如有转让和未经采购人同意的分包行为，采购人有权解除合同，并追究供应商的违约责任。</w:t>
      </w:r>
    </w:p>
    <w:p w14:paraId="3F8568CF">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bookmarkStart w:id="4" w:name="_Toc28452"/>
      <w:r>
        <w:rPr>
          <w:rFonts w:hint="eastAsia" w:ascii="宋体" w:hAnsi="宋体" w:eastAsia="宋体" w:cs="宋体"/>
          <w:b/>
          <w:kern w:val="0"/>
          <w:sz w:val="24"/>
        </w:rPr>
        <w:t>八、采购人的权利及义务</w:t>
      </w:r>
      <w:bookmarkEnd w:id="4"/>
    </w:p>
    <w:p w14:paraId="4448CB12">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（一）采购人的权利</w:t>
      </w:r>
    </w:p>
    <w:p w14:paraId="6CC31491">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1．采购人有权向供应商询问工作进展情况及相关的内容。</w:t>
      </w:r>
    </w:p>
    <w:p w14:paraId="5B42021C">
      <w:pPr>
        <w:keepNext w:val="0"/>
        <w:keepLines w:val="0"/>
        <w:pageBreakBefore w:val="0"/>
        <w:widowControl w:val="0"/>
        <w:tabs>
          <w:tab w:val="left" w:pos="0"/>
          <w:tab w:val="left" w:pos="437"/>
          <w:tab w:val="left" w:pos="1311"/>
        </w:tabs>
        <w:kinsoku/>
        <w:wordWrap w:val="0"/>
        <w:overflowPunct/>
        <w:topLinePunct/>
        <w:autoSpaceDE/>
        <w:autoSpaceDN/>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2．采购人有权阐述对具体问题的意见和建议。</w:t>
      </w:r>
    </w:p>
    <w:p w14:paraId="788D0DF7">
      <w:pPr>
        <w:keepNext w:val="0"/>
        <w:keepLines w:val="0"/>
        <w:pageBreakBefore w:val="0"/>
        <w:widowControl w:val="0"/>
        <w:tabs>
          <w:tab w:val="left" w:pos="0"/>
          <w:tab w:val="left" w:pos="437"/>
          <w:tab w:val="left" w:pos="1311"/>
        </w:tabs>
        <w:kinsoku/>
        <w:wordWrap w:val="0"/>
        <w:overflowPunct/>
        <w:topLinePunct/>
        <w:autoSpaceDE/>
        <w:autoSpaceDN/>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 当采购人认定供应商专业人员不按合同履行其职责，或与第三人串通给采购人造成经济损失的，采购人有权要求更换专业人员，直至终止合同并要求供应商承担相应的赔偿责任。</w:t>
      </w:r>
    </w:p>
    <w:p w14:paraId="250B45F6">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（二）采购人的义务</w:t>
      </w:r>
    </w:p>
    <w:p w14:paraId="36E46E4A">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采购人应当在约定的时间内，向供应商提供与本项目实施有关的资料。</w:t>
      </w:r>
    </w:p>
    <w:p w14:paraId="1710187A">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bookmarkStart w:id="5" w:name="_Toc14300"/>
      <w:r>
        <w:rPr>
          <w:rFonts w:hint="eastAsia" w:ascii="宋体" w:hAnsi="宋体" w:eastAsia="宋体" w:cs="宋体"/>
          <w:b/>
          <w:kern w:val="0"/>
          <w:sz w:val="24"/>
        </w:rPr>
        <w:t>九、供应商的权利及义务</w:t>
      </w:r>
      <w:bookmarkEnd w:id="5"/>
    </w:p>
    <w:p w14:paraId="0392C397">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（一）供应商的权利</w:t>
      </w:r>
    </w:p>
    <w:p w14:paraId="227DF349">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供应商在项目实施过程中，如采购人提供的资料不明确时可向采购人提出书面报告。</w:t>
      </w:r>
    </w:p>
    <w:p w14:paraId="1DD1EB64">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（二）供应商的义务</w:t>
      </w:r>
    </w:p>
    <w:p w14:paraId="51356B57">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1．人员配备合理。有针对本项目的专项服务小组，项目负责人、工作人员分工明确（应有具体成员名单，包括姓名、工作职责等），并按合同约定的范围实施业务。</w:t>
      </w:r>
    </w:p>
    <w:p w14:paraId="61F44611">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2．应及时向采购人汇报该项目完成进度。</w:t>
      </w:r>
    </w:p>
    <w:p w14:paraId="6738D4F3">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3．在履行合同期间或合同规定期限内，不得泄露与本合同规定业务活动有关的保密资料。</w:t>
      </w:r>
    </w:p>
    <w:p w14:paraId="35D33DF8">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4．在编制成果工作过程中，如遇采购人所提供的材料有不统一、不明确、不详实之处时，应立即与采购人沟通，不得以此延误时间。</w:t>
      </w:r>
    </w:p>
    <w:p w14:paraId="4B9E22DF">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5.供应商除编制本项目成果外，还应负责协助采购人完成成果文件的验收等工作。</w:t>
      </w:r>
    </w:p>
    <w:p w14:paraId="3139EAB4">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bookmarkStart w:id="6" w:name="_Toc534"/>
      <w:r>
        <w:rPr>
          <w:rFonts w:hint="eastAsia" w:ascii="宋体" w:hAnsi="宋体" w:eastAsia="宋体" w:cs="宋体"/>
          <w:b/>
          <w:kern w:val="0"/>
          <w:sz w:val="24"/>
        </w:rPr>
        <w:t>十、</w:t>
      </w:r>
      <w:bookmarkEnd w:id="6"/>
      <w:r>
        <w:rPr>
          <w:rFonts w:hint="eastAsia" w:ascii="宋体" w:hAnsi="宋体" w:eastAsia="宋体" w:cs="宋体"/>
          <w:b/>
          <w:kern w:val="0"/>
          <w:sz w:val="24"/>
        </w:rPr>
        <w:t>质量标准</w:t>
      </w:r>
    </w:p>
    <w:p w14:paraId="583703BE">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bookmarkStart w:id="7" w:name="_Toc26949"/>
      <w:r>
        <w:rPr>
          <w:rFonts w:hint="eastAsia" w:ascii="宋体" w:hAnsi="宋体" w:eastAsia="宋体" w:cs="宋体"/>
          <w:kern w:val="0"/>
          <w:sz w:val="24"/>
        </w:rPr>
        <w:t>成果文件及配套服务达到国家、行业相关规定和现行技术规范、规程合格标准。</w:t>
      </w:r>
    </w:p>
    <w:p w14:paraId="1D36E34F">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kern w:val="0"/>
          <w:sz w:val="24"/>
        </w:rPr>
      </w:pPr>
      <w:r>
        <w:rPr>
          <w:rFonts w:hint="eastAsia" w:ascii="宋体" w:hAnsi="宋体" w:eastAsia="宋体" w:cs="宋体"/>
          <w:b/>
          <w:kern w:val="0"/>
          <w:sz w:val="24"/>
        </w:rPr>
        <w:t>十一、违约责任</w:t>
      </w:r>
      <w:bookmarkEnd w:id="7"/>
    </w:p>
    <w:p w14:paraId="53D2C0D1">
      <w:pPr>
        <w:keepNext w:val="0"/>
        <w:keepLines w:val="0"/>
        <w:pageBreakBefore w:val="0"/>
        <w:kinsoku/>
        <w:wordWrap/>
        <w:overflowPunct/>
        <w:topLinePunct w:val="0"/>
        <w:autoSpaceDE w:val="0"/>
        <w:autoSpaceDN w:val="0"/>
        <w:bidi w:val="0"/>
        <w:adjustRightInd w:val="0"/>
        <w:snapToGrid w:val="0"/>
        <w:spacing w:line="520" w:lineRule="exact"/>
        <w:ind w:firstLine="480" w:firstLineChars="200"/>
        <w:textAlignment w:val="auto"/>
        <w:rPr>
          <w:rFonts w:hint="eastAsia" w:ascii="宋体" w:hAnsi="宋体" w:eastAsia="宋体" w:cs="宋体"/>
          <w:bCs/>
          <w:sz w:val="24"/>
        </w:rPr>
      </w:pPr>
      <w:r>
        <w:rPr>
          <w:rFonts w:hint="eastAsia" w:ascii="宋体" w:hAnsi="宋体" w:eastAsia="宋体" w:cs="宋体"/>
          <w:bCs/>
          <w:sz w:val="24"/>
        </w:rPr>
        <w:t>（一）采购人因未及时向供应商提供项目启动所需资料造成</w:t>
      </w:r>
      <w:r>
        <w:rPr>
          <w:rFonts w:hint="eastAsia" w:ascii="宋体" w:hAnsi="宋体" w:cs="宋体"/>
          <w:bCs/>
          <w:sz w:val="24"/>
          <w:lang w:val="en-US" w:eastAsia="zh-CN"/>
        </w:rPr>
        <w:t>服务</w:t>
      </w:r>
      <w:r>
        <w:rPr>
          <w:rFonts w:hint="eastAsia" w:ascii="宋体" w:hAnsi="宋体" w:eastAsia="宋体" w:cs="宋体"/>
          <w:bCs/>
          <w:sz w:val="24"/>
        </w:rPr>
        <w:t>期延误，每延误1日则本合同服务周期限延长1日，以此类推；因资料真实性给供应商造成损失和产生相关连带责任时，采购人除按供应商要求进行赔偿外还需承担因连带责任产生的所有责任。</w:t>
      </w:r>
    </w:p>
    <w:p w14:paraId="6EE78E8A">
      <w:pPr>
        <w:keepNext w:val="0"/>
        <w:keepLines w:val="0"/>
        <w:pageBreakBefore w:val="0"/>
        <w:kinsoku/>
        <w:wordWrap/>
        <w:overflowPunct/>
        <w:topLinePunct w:val="0"/>
        <w:autoSpaceDE w:val="0"/>
        <w:autoSpaceDN w:val="0"/>
        <w:bidi w:val="0"/>
        <w:adjustRightInd w:val="0"/>
        <w:snapToGrid w:val="0"/>
        <w:spacing w:line="520" w:lineRule="exact"/>
        <w:ind w:firstLine="480" w:firstLineChars="200"/>
        <w:textAlignment w:val="auto"/>
        <w:rPr>
          <w:rFonts w:hint="eastAsia" w:ascii="宋体" w:hAnsi="宋体" w:eastAsia="宋体" w:cs="宋体"/>
          <w:bCs/>
          <w:sz w:val="24"/>
        </w:rPr>
      </w:pPr>
      <w:r>
        <w:rPr>
          <w:rFonts w:hint="eastAsia" w:ascii="宋体" w:hAnsi="宋体" w:eastAsia="宋体" w:cs="宋体"/>
          <w:bCs/>
          <w:sz w:val="24"/>
        </w:rPr>
        <w:t>（二）因供应商原因造成</w:t>
      </w:r>
      <w:r>
        <w:rPr>
          <w:rFonts w:hint="eastAsia" w:ascii="宋体" w:hAnsi="宋体" w:cs="宋体"/>
          <w:bCs/>
          <w:sz w:val="24"/>
          <w:lang w:val="en-US" w:eastAsia="zh-CN"/>
        </w:rPr>
        <w:t>服务</w:t>
      </w:r>
      <w:r>
        <w:rPr>
          <w:rFonts w:hint="eastAsia" w:ascii="宋体" w:hAnsi="宋体" w:eastAsia="宋体" w:cs="宋体"/>
          <w:bCs/>
          <w:sz w:val="24"/>
        </w:rPr>
        <w:t>期延误（自然灾害、疫情等不可抗力除外），采购人有权从未付款项中按每日3‰合同价款扣除违约金，此违约以30日为限；若采购人未按约定时间付款，则供应商有权按每日3‰合同价款收取违约金。</w:t>
      </w:r>
    </w:p>
    <w:p w14:paraId="1AB709B6">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十二、不可抗力事件处理</w:t>
      </w:r>
    </w:p>
    <w:p w14:paraId="7C70751C">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1.在合同有效期内，任何一方因不可抗力事件导致不能履行合同，则合同履行期可延长，其延长期与不可抗力影响期相同。</w:t>
      </w:r>
    </w:p>
    <w:p w14:paraId="0D5B315B">
      <w:pPr>
        <w:keepNext w:val="0"/>
        <w:keepLines w:val="0"/>
        <w:pageBreakBefore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2.不可抗力事件发生后，应立即通知对方。</w:t>
      </w:r>
    </w:p>
    <w:p w14:paraId="50B5FD98">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3.不可抗力事件延续120天以上，双方应通过友好协商，确定是否继续履行合同。</w:t>
      </w:r>
    </w:p>
    <w:p w14:paraId="323E7BA9">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十三、诉讼</w:t>
      </w:r>
    </w:p>
    <w:p w14:paraId="50D332CE">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rPr>
          <w:rFonts w:hint="eastAsia" w:ascii="宋体" w:hAnsi="宋体" w:eastAsia="宋体" w:cs="宋体"/>
          <w:spacing w:val="-8"/>
          <w:kern w:val="0"/>
          <w:sz w:val="24"/>
        </w:rPr>
      </w:pPr>
      <w:r>
        <w:rPr>
          <w:rFonts w:hint="eastAsia" w:ascii="宋体" w:hAnsi="宋体" w:eastAsia="宋体" w:cs="宋体"/>
          <w:spacing w:val="-8"/>
          <w:kern w:val="0"/>
          <w:sz w:val="24"/>
        </w:rPr>
        <w:t>双方在执行合同中所发生的一切争议，应通过协商解决。如协商不成，可向采购人所在地法院起诉。</w:t>
      </w:r>
    </w:p>
    <w:p w14:paraId="4E274E3B">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rPr>
          <w:rFonts w:hint="eastAsia" w:ascii="宋体" w:hAnsi="宋体" w:eastAsia="宋体" w:cs="宋体"/>
          <w:b/>
          <w:bCs/>
          <w:kern w:val="0"/>
          <w:sz w:val="24"/>
        </w:rPr>
      </w:pPr>
      <w:r>
        <w:rPr>
          <w:rFonts w:hint="eastAsia" w:ascii="宋体" w:hAnsi="宋体" w:eastAsia="宋体" w:cs="宋体"/>
          <w:b/>
          <w:bCs/>
          <w:kern w:val="0"/>
          <w:sz w:val="24"/>
        </w:rPr>
        <w:t>十四、合同生效及其它</w:t>
      </w:r>
    </w:p>
    <w:p w14:paraId="647E5A03">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1.本合同经采购人、供应商法定代表人或其委托人签字并加盖公章后生效。</w:t>
      </w:r>
    </w:p>
    <w:p w14:paraId="44E3B771">
      <w:pPr>
        <w:keepNext w:val="0"/>
        <w:keepLines w:val="0"/>
        <w:pageBreakBefore w:val="0"/>
        <w:widowControl/>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rPr>
          <w:rFonts w:hint="eastAsia" w:ascii="宋体" w:hAnsi="宋体" w:eastAsia="宋体" w:cs="宋体"/>
          <w:kern w:val="0"/>
          <w:sz w:val="24"/>
        </w:rPr>
      </w:pPr>
      <w:r>
        <w:rPr>
          <w:rFonts w:hint="eastAsia" w:ascii="宋体" w:hAnsi="宋体" w:eastAsia="宋体" w:cs="宋体"/>
          <w:spacing w:val="-8"/>
          <w:kern w:val="0"/>
          <w:sz w:val="24"/>
        </w:rPr>
        <w:t>2.本合同一式六份，采购人、供应商各执两份，其余相关部门各一份。</w:t>
      </w:r>
    </w:p>
    <w:p w14:paraId="796AF465">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p>
    <w:p w14:paraId="074C512C">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 xml:space="preserve">采购人（章）：                             供应商（章）：         </w:t>
      </w:r>
    </w:p>
    <w:p w14:paraId="19018436">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法定代表人                                 法定代表人</w:t>
      </w:r>
    </w:p>
    <w:p w14:paraId="19A44213">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或委托代理人（签字或盖章）：               或委托代理人（签字或盖章）：</w:t>
      </w:r>
    </w:p>
    <w:p w14:paraId="760F5529">
      <w:pPr>
        <w:pStyle w:val="3"/>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rPr>
      </w:pPr>
      <w:r>
        <w:rPr>
          <w:rFonts w:hint="eastAsia" w:ascii="宋体" w:hAnsi="宋体" w:eastAsia="宋体" w:cs="宋体"/>
          <w:color w:val="auto"/>
          <w:kern w:val="0"/>
        </w:rPr>
        <w:t xml:space="preserve">年   月   日                           </w:t>
      </w:r>
      <w:r>
        <w:rPr>
          <w:rFonts w:hint="eastAsia" w:ascii="宋体" w:hAnsi="宋体" w:cs="宋体"/>
          <w:color w:val="auto"/>
          <w:kern w:val="0"/>
          <w:lang w:val="en-US" w:eastAsia="zh-CN"/>
        </w:rPr>
        <w:t xml:space="preserve">  </w:t>
      </w:r>
      <w:r>
        <w:rPr>
          <w:rFonts w:hint="eastAsia" w:ascii="宋体" w:hAnsi="宋体" w:eastAsia="宋体" w:cs="宋体"/>
          <w:color w:val="auto"/>
          <w:kern w:val="0"/>
        </w:rPr>
        <w:t xml:space="preserve">   年   月   日</w:t>
      </w:r>
    </w:p>
    <w:p w14:paraId="470EE20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b w:val="0"/>
          <w:bCs w:val="0"/>
          <w:color w:val="auto"/>
          <w:kern w:val="0"/>
          <w:sz w:val="24"/>
          <w:szCs w:val="24"/>
          <w:lang w:val="en-US" w:eastAsia="zh-CN"/>
        </w:rPr>
      </w:pPr>
      <w:r>
        <w:rPr>
          <w:rFonts w:hint="eastAsia" w:ascii="宋体" w:hAnsi="宋体" w:eastAsia="宋体" w:cs="宋体"/>
          <w:color w:val="auto"/>
          <w:kern w:val="0"/>
        </w:rPr>
        <w:br w:type="page"/>
      </w:r>
      <w:bookmarkStart w:id="8" w:name="_Toc29371"/>
      <w:r>
        <w:rPr>
          <w:rFonts w:hint="eastAsia" w:ascii="宋体" w:hAnsi="宋体" w:cs="宋体"/>
          <w:b/>
          <w:bCs/>
          <w:color w:val="auto"/>
          <w:kern w:val="0"/>
          <w:sz w:val="24"/>
          <w:szCs w:val="24"/>
          <w:lang w:val="en-US" w:eastAsia="zh-CN"/>
        </w:rPr>
        <w:t>附件：</w:t>
      </w:r>
      <w:bookmarkEnd w:id="8"/>
      <w:r>
        <w:rPr>
          <w:rFonts w:hint="eastAsia" w:ascii="宋体" w:hAnsi="宋体" w:cs="宋体"/>
          <w:b/>
          <w:bCs/>
          <w:color w:val="auto"/>
          <w:kern w:val="0"/>
          <w:sz w:val="24"/>
          <w:szCs w:val="24"/>
          <w:lang w:val="en-US" w:eastAsia="zh-CN"/>
        </w:rPr>
        <w:t>服务指标的具体要求</w:t>
      </w:r>
    </w:p>
    <w:p w14:paraId="76B749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1.服务内容：</w:t>
      </w:r>
    </w:p>
    <w:p w14:paraId="641191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（1）须完成医院 DIP 医保结算清单、DIP 预分组信息化建设的需求调研、方案设计、部署实施、数据对接、联调测试、系统培训和上线运行。</w:t>
      </w:r>
    </w:p>
    <w:p w14:paraId="4C9481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（2）须完成与医院 HIS、电子病历、病案、等相关系统的接口开发与数据互通，满足医院住院病案首页、医保结算清单、费用明细、诊疗行为等数据的采集、校验、标准化处理。</w:t>
      </w:r>
    </w:p>
    <w:p w14:paraId="58F6B3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（3）须含有 DIP 预分组功能，支持实时预分组、分值测算、异常提示，帮助医院在出院前及时发现并修正编码、诊断、手术操作、费用等问题，降低拒付与违规风险。</w:t>
      </w:r>
    </w:p>
    <w:p w14:paraId="3FE31B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（4）须含有 DIP 医保结算清单管理模块，实现清单规范化生成、质控审核、差错提醒、上传对接，确保清单完整、准确、合规，满足医保局报送要求。</w:t>
      </w:r>
    </w:p>
    <w:p w14:paraId="20779C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（5）供应商须提供系统操作培训、日常运维、问题响应、版本升级、持续优化等全生命周期服务，保障系统稳定、高效、安全运行。</w:t>
      </w:r>
    </w:p>
    <w:p w14:paraId="3386D4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2.服务地点</w:t>
      </w:r>
    </w:p>
    <w:p w14:paraId="37F0CA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渭南市临渭区</w:t>
      </w:r>
    </w:p>
    <w:p w14:paraId="60170D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3.项目成果</w:t>
      </w:r>
    </w:p>
    <w:p w14:paraId="065358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（1）建成一套符合国家及地方医保 DIP 支付改革政策要求的 DIP 医保结算清单系统、DIP 预分组系统，满足医院日常结算、清单质控和上报，提升医院DIP精细化管理能力。</w:t>
      </w:r>
    </w:p>
    <w:p w14:paraId="1257CF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（2）实现院内住院数据事前预分组、事中质控、并将自动生成的医保结算清单及时规范上传，大幅提升医保结算清单填报质量与上报成功率。</w:t>
      </w:r>
    </w:p>
    <w:p w14:paraId="1F60E8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（3）实现出院前DIP 预分组、分值预判、盈亏预警、异常纠错，有效减少编码错误、分组错误、费用异常，降低医保拒付率，提升医院医保基金使用效益。</w:t>
      </w:r>
    </w:p>
    <w:p w14:paraId="6EDDB8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4.服务</w:t>
      </w:r>
      <w:bookmarkStart w:id="9" w:name="_Hlk98681507"/>
      <w:bookmarkStart w:id="10" w:name="_Hlk98671566"/>
      <w:r>
        <w:rPr>
          <w:rFonts w:hint="eastAsia" w:ascii="宋体" w:hAnsi="宋体" w:cs="宋体"/>
          <w:b w:val="0"/>
          <w:bCs w:val="0"/>
          <w:color w:val="auto"/>
          <w:kern w:val="0"/>
          <w:sz w:val="24"/>
          <w:szCs w:val="24"/>
          <w:lang w:val="en-US" w:eastAsia="zh-CN"/>
        </w:rPr>
        <w:t>要求</w:t>
      </w:r>
    </w:p>
    <w:bookmarkEnd w:id="9"/>
    <w:bookmarkEnd w:id="10"/>
    <w:p w14:paraId="25EB96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（1）满足我院HIS等信息化对接形式，即能够通过标准 HTTP 协议主动调用 HIS 开放接口获取业务数据，并在应用层进行数据解析、转换与业务逻辑处理。</w:t>
      </w:r>
    </w:p>
    <w:p w14:paraId="4BEE2A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（2）能及时提供远程在线诊断和故障排除服务。对于一般故障，在接到通知后，在2小时内响应。对于需派技术工程师到现场解决的故障，中标单位技术人员在24小时内赶到现场。</w:t>
      </w:r>
    </w:p>
    <w:p w14:paraId="59737D0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bCs/>
          <w:color w:val="auto"/>
          <w:kern w:val="0"/>
          <w:sz w:val="24"/>
          <w:szCs w:val="24"/>
          <w:lang w:val="en-US" w:eastAsia="zh-CN"/>
        </w:rPr>
        <w:t>服务质量、标准、期限、效率等要求</w:t>
      </w:r>
    </w:p>
    <w:p w14:paraId="34254C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bookmarkStart w:id="11" w:name="_Hlk98681547"/>
      <w:r>
        <w:rPr>
          <w:rFonts w:hint="eastAsia" w:ascii="宋体" w:hAnsi="宋体" w:cs="宋体"/>
          <w:b w:val="0"/>
          <w:bCs w:val="0"/>
          <w:color w:val="auto"/>
          <w:kern w:val="0"/>
          <w:sz w:val="24"/>
          <w:szCs w:val="24"/>
          <w:lang w:val="en-US" w:eastAsia="zh-CN"/>
        </w:rPr>
        <w:t>1、成交后，供应商派驻一名项目负责人，一名技术负责人对作业过程中作业进度、服务质量、作业人员管理进行总协调，确保技术措施的落实，按时参加采购人组织的相关会议和活动，服从采购人的工作制度和工作规范。</w:t>
      </w:r>
    </w:p>
    <w:p w14:paraId="617B9B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2、成交后，供应商向采购人提供项目作业计划和安全责任协议等，其内容包括管理机构的设置、各主要岗位的技术和管理员名单、资质、联系方式及各工种技术工人的安排、项目实施进度安排、技术措施等状况。</w:t>
      </w:r>
    </w:p>
    <w:p w14:paraId="0CA024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3、严格按照项目要求进行作业，作业前按项目要求筹备各项设备、材料、工具等，按技术规定进行作业。</w:t>
      </w:r>
    </w:p>
    <w:p w14:paraId="6E3C79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4、协助采购人及时组织召开检查验收、效果评价和服务验收工作会议。</w:t>
      </w:r>
    </w:p>
    <w:p w14:paraId="233459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5、成交供应商向采购人提交服务作业过程性资料和工作总结报告，按相关要求执行。</w:t>
      </w:r>
    </w:p>
    <w:p w14:paraId="770C6C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6、有各类突发事件的应急预案和措施，有明确具体的承诺。</w:t>
      </w:r>
      <w:bookmarkEnd w:id="11"/>
    </w:p>
    <w:sectPr>
      <w:footerReference r:id="rId5" w:type="default"/>
      <w:pgSz w:w="11906" w:h="16838"/>
      <w:pgMar w:top="1417" w:right="1417" w:bottom="1417" w:left="1417"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BB8B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46C7B2">
                          <w:pPr>
                            <w:pStyle w:val="4"/>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E46C7B2">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C363FF"/>
    <w:rsid w:val="40590CD8"/>
    <w:rsid w:val="79703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qFormat/>
    <w:uiPriority w:val="99"/>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table of figures"/>
    <w:basedOn w:val="1"/>
    <w:next w:val="1"/>
    <w:qFormat/>
    <w:uiPriority w:val="0"/>
    <w:pPr>
      <w:spacing w:line="360" w:lineRule="auto"/>
      <w:ind w:hanging="200"/>
    </w:pPr>
    <w:rPr>
      <w:rFonts w:ascii="宋体"/>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3039</Words>
  <Characters>3096</Characters>
  <Lines>0</Lines>
  <Paragraphs>0</Paragraphs>
  <TotalTime>0</TotalTime>
  <ScaleCrop>false</ScaleCrop>
  <LinksUpToDate>false</LinksUpToDate>
  <CharactersWithSpaces>3341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2026-02-05T08:03:00Z</dcterms:created>
  <dc:creator>Admin</dc:creator>
  <cp:lastModifiedBy>南柯一梦</cp:lastModifiedBy>
  <dcterms:modified xsi:type="dcterms:W3CDTF">2026-03-23T03:01:41Z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eyJoZGlkIjoiMGEwNDcyOWJkZGUxZDE2MmU0MjllOTE1MDczNzA5YTUiLCJ1c2VySWQiOiI1NDExODg2NzgifQ==</vt:lpwstr>
  </property>
  <property fmtid="{D5CDD505-2E9C-101B-9397-08002B2CF9AE}" pid="4" name="ICV">
    <vt:lpwstr>C33422941DA1406F82F3176ECB7B2911_12</vt:lpwstr>
  </property>
</Properties>
</file>