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版本号：LWQZFCG2026-001.1B220260320001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物业及餐厅服务项目(三次)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LWQZFCG2026-001.1B2</w:t>
      </w:r>
      <w:r>
        <w:br/>
      </w:r>
      <w:r>
        <w:br/>
      </w:r>
      <w:r>
        <w:br/>
      </w:r>
    </w:p>
    <w:p>
      <w:pPr>
        <w:pStyle w:val="null3"/>
        <w:jc w:val="center"/>
        <w:outlineLvl w:val="2"/>
      </w:pPr>
      <w:r>
        <w:rPr>
          <w:rFonts w:ascii="仿宋_GB2312" w:hAnsi="仿宋_GB2312" w:cs="仿宋_GB2312" w:eastAsia="仿宋_GB2312"/>
          <w:sz w:val="28"/>
          <w:b/>
        </w:rPr>
        <w:t>渭南市临渭区人民法院</w:t>
      </w:r>
    </w:p>
    <w:p>
      <w:pPr>
        <w:pStyle w:val="null3"/>
        <w:jc w:val="center"/>
        <w:outlineLvl w:val="2"/>
      </w:pPr>
      <w:r>
        <w:rPr>
          <w:rFonts w:ascii="仿宋_GB2312" w:hAnsi="仿宋_GB2312" w:cs="仿宋_GB2312" w:eastAsia="仿宋_GB2312"/>
          <w:sz w:val="28"/>
          <w:b/>
        </w:rPr>
        <w:t>临渭区政府采购中心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临渭区政府采购中心</w:t>
      </w:r>
      <w:r>
        <w:rPr>
          <w:rFonts w:ascii="仿宋_GB2312" w:hAnsi="仿宋_GB2312" w:cs="仿宋_GB2312" w:eastAsia="仿宋_GB2312"/>
        </w:rPr>
        <w:t>（以下简称“代理机构”）受</w:t>
      </w:r>
      <w:r>
        <w:rPr>
          <w:rFonts w:ascii="仿宋_GB2312" w:hAnsi="仿宋_GB2312" w:cs="仿宋_GB2312" w:eastAsia="仿宋_GB2312"/>
        </w:rPr>
        <w:t>渭南市临渭区人民法院</w:t>
      </w:r>
      <w:r>
        <w:rPr>
          <w:rFonts w:ascii="仿宋_GB2312" w:hAnsi="仿宋_GB2312" w:cs="仿宋_GB2312" w:eastAsia="仿宋_GB2312"/>
        </w:rPr>
        <w:t>委托，拟对</w:t>
      </w:r>
      <w:r>
        <w:rPr>
          <w:rFonts w:ascii="仿宋_GB2312" w:hAnsi="仿宋_GB2312" w:cs="仿宋_GB2312" w:eastAsia="仿宋_GB2312"/>
        </w:rPr>
        <w:t>物业及餐厅服务项目(三次)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LWQZFCG2026-001.1B2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物业及餐厅服务项目(三次)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服务指标的总建筑面积约21000㎡。包括配备立案用房、审判用房、执行用房、信访接待用房、审判配套用房、审判信息管理用房、诉讼档案用房、司法警察警务用房和辅助用房、职工餐厅等。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采购包1（物业及餐厅服务项目）：属于专门面向中小企业采购。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1、营业执照等证明文件：供应商须提供合法注册的法人或其他组织的营业执照等证明文件</w:t>
      </w:r>
    </w:p>
    <w:p>
      <w:pPr>
        <w:pStyle w:val="null3"/>
      </w:pPr>
      <w:r>
        <w:rPr>
          <w:rFonts w:ascii="仿宋_GB2312" w:hAnsi="仿宋_GB2312" w:cs="仿宋_GB2312" w:eastAsia="仿宋_GB2312"/>
        </w:rPr>
        <w:t>2、法定代表人授权委托书：供应商应授权合法的人员参加投标全过程，其中法定代表人直接参加投标的，须提供法定代表人身份证明书。法定代表人授权代表参加投标的，须提供法定代表人授权书。</w:t>
      </w:r>
    </w:p>
    <w:p>
      <w:pPr>
        <w:pStyle w:val="null3"/>
      </w:pPr>
      <w:r>
        <w:rPr>
          <w:rFonts w:ascii="仿宋_GB2312" w:hAnsi="仿宋_GB2312" w:cs="仿宋_GB2312" w:eastAsia="仿宋_GB2312"/>
        </w:rPr>
        <w:t>3、税收及社保缴纳证明：提供响应文件递交截止时间前一年内任意一个月的税收缴费凭据；依法免税的应提供相关文件证明；提供响应文件递交截止时间前一年内任意一个月的社保缴费凭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财务审计报告或资信证明：提供具有财务审计资质单位出具的2024年度财务报告（成立时间至开标时间不足一年的可提供成立后任意时段的资产负债表）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5、合同书面声明及承诺：提供具有履行合同所必需的设备和专业技术能力的承诺。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6、参加政府采购活动前三年内在经营活动中没有重大违法记录的书面声明：提供参加政府采购活动前3年内在经营活动中没有重大违法记录的书面声明。</w:t>
      </w:r>
    </w:p>
    <w:p>
      <w:pPr>
        <w:pStyle w:val="null3"/>
      </w:pPr>
      <w:r>
        <w:rPr>
          <w:rFonts w:ascii="仿宋_GB2312" w:hAnsi="仿宋_GB2312" w:cs="仿宋_GB2312" w:eastAsia="仿宋_GB2312"/>
        </w:rPr>
        <w:t>7、信用信息：提供《供应商信用记录书面声明函》。经查，投标人未被列入“信用中国”网站记录的“失信被执行人”或“重大税收违法失信主体”名单；不处于“中国政府采购网”记录的“政府采购严重违法失信行为记录名单”中禁止参加政府采购活动期间 ； 供应商需在项目电子化交易系统中按要求上传《供应商信用记录书面声明函》并进行电子签章。</w:t>
      </w:r>
    </w:p>
    <w:p>
      <w:pPr>
        <w:pStyle w:val="null3"/>
      </w:pPr>
      <w:r>
        <w:rPr>
          <w:rFonts w:ascii="仿宋_GB2312" w:hAnsi="仿宋_GB2312" w:cs="仿宋_GB2312" w:eastAsia="仿宋_GB2312"/>
        </w:rPr>
        <w:t>8、无控股、管理关系承诺：单位负责人为同一人或者存在直接控股、管理关系的不同供应商，不得参加同一合同项下的政府采购活动。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渭南市临渭区渭河大街69号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渭南市临渭区人民法院经办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0913-2110271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临渭区政府采购中心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渭南市临渭区财政局乐天大街123号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临渭区政府采购中心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0913-2130883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渭南市临渭区人民法院</w:t>
      </w:r>
      <w:r>
        <w:rPr>
          <w:rFonts w:ascii="仿宋_GB2312" w:hAnsi="仿宋_GB2312" w:cs="仿宋_GB2312" w:eastAsia="仿宋_GB2312"/>
        </w:rPr>
        <w:t>和</w:t>
      </w:r>
      <w:r>
        <w:rPr>
          <w:rFonts w:ascii="仿宋_GB2312" w:hAnsi="仿宋_GB2312" w:cs="仿宋_GB2312" w:eastAsia="仿宋_GB2312"/>
        </w:rPr>
        <w:t>临渭区政府采购中心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渭南市临渭区人民法院</w:t>
      </w:r>
      <w:r>
        <w:rPr>
          <w:rFonts w:ascii="仿宋_GB2312" w:hAnsi="仿宋_GB2312" w:cs="仿宋_GB2312" w:eastAsia="仿宋_GB2312"/>
        </w:rPr>
        <w:t>负责解释。除上述招标文件内容，其他内容由</w:t>
      </w:r>
      <w:r>
        <w:rPr>
          <w:rFonts w:ascii="仿宋_GB2312" w:hAnsi="仿宋_GB2312" w:cs="仿宋_GB2312" w:eastAsia="仿宋_GB2312"/>
        </w:rPr>
        <w:t>临渭区政府采购中心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临渭区政府采购中心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渭南市临渭区人民法院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联系人：临渭区政府采购中心</w:t>
      </w:r>
    </w:p>
    <w:p>
      <w:pPr>
        <w:pStyle w:val="null3"/>
      </w:pPr>
      <w:r>
        <w:rPr>
          <w:rFonts w:ascii="仿宋_GB2312" w:hAnsi="仿宋_GB2312" w:cs="仿宋_GB2312" w:eastAsia="仿宋_GB2312"/>
        </w:rPr>
        <w:t>联系电话：0913-2130883</w:t>
      </w:r>
    </w:p>
    <w:p>
      <w:pPr>
        <w:pStyle w:val="null3"/>
      </w:pPr>
      <w:r>
        <w:rPr>
          <w:rFonts w:ascii="仿宋_GB2312" w:hAnsi="仿宋_GB2312" w:cs="仿宋_GB2312" w:eastAsia="仿宋_GB2312"/>
        </w:rPr>
        <w:t>地址：渭南市临渭区财政局乐天大街123号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服务指标的总建筑面积约21000㎡。包括配备立案用房、审判用房、执行用房、信访接待用房、审判配套用房、审判信息管理用房、诉讼档案用房、司法警察警务用房和辅助用房、职工餐厅等。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2,050,000.00</w:t>
      </w:r>
    </w:p>
    <w:p>
      <w:pPr>
        <w:pStyle w:val="null3"/>
      </w:pPr>
      <w:r>
        <w:rPr>
          <w:rFonts w:ascii="仿宋_GB2312" w:hAnsi="仿宋_GB2312" w:cs="仿宋_GB2312" w:eastAsia="仿宋_GB2312"/>
        </w:rPr>
        <w:t>采购包最高限价（元）: 2,050,000.00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物业及餐厅服务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标的名称：物业及餐厅服务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b/>
              </w:rPr>
              <w:t>服务指标的具体要求</w:t>
            </w:r>
          </w:p>
          <w:p>
            <w:pPr>
              <w:pStyle w:val="null3"/>
            </w:pPr>
            <w:r>
              <w:rPr>
                <w:rFonts w:ascii="仿宋_GB2312" w:hAnsi="仿宋_GB2312" w:cs="仿宋_GB2312" w:eastAsia="仿宋_GB2312"/>
                <w:sz w:val="21"/>
              </w:rPr>
              <w:t>（一）</w:t>
            </w:r>
            <w:r>
              <w:rPr>
                <w:rFonts w:ascii="仿宋_GB2312" w:hAnsi="仿宋_GB2312" w:cs="仿宋_GB2312" w:eastAsia="仿宋_GB2312"/>
                <w:sz w:val="21"/>
                <w:b/>
              </w:rPr>
              <w:t>采购项目概况</w:t>
            </w:r>
          </w:p>
          <w:p>
            <w:pPr>
              <w:pStyle w:val="null3"/>
            </w:pPr>
            <w:r>
              <w:rPr>
                <w:rFonts w:ascii="仿宋_GB2312" w:hAnsi="仿宋_GB2312" w:cs="仿宋_GB2312" w:eastAsia="仿宋_GB2312"/>
                <w:sz w:val="21"/>
              </w:rPr>
              <w:t>服务指标的总建筑面积约</w:t>
            </w:r>
            <w:r>
              <w:rPr>
                <w:rFonts w:ascii="仿宋_GB2312" w:hAnsi="仿宋_GB2312" w:cs="仿宋_GB2312" w:eastAsia="仿宋_GB2312"/>
                <w:sz w:val="21"/>
              </w:rPr>
              <w:t>21000㎡。</w:t>
            </w:r>
            <w:r>
              <w:rPr>
                <w:rFonts w:ascii="仿宋_GB2312" w:hAnsi="仿宋_GB2312" w:cs="仿宋_GB2312" w:eastAsia="仿宋_GB2312"/>
                <w:sz w:val="21"/>
              </w:rPr>
              <w:t>包括</w:t>
            </w:r>
            <w:r>
              <w:rPr>
                <w:rFonts w:ascii="仿宋_GB2312" w:hAnsi="仿宋_GB2312" w:cs="仿宋_GB2312" w:eastAsia="仿宋_GB2312"/>
                <w:sz w:val="21"/>
              </w:rPr>
              <w:t>配备立案用房、审判用房、执行用房、信访接待用房、审判配套用</w:t>
            </w:r>
            <w:r>
              <w:rPr>
                <w:rFonts w:ascii="仿宋_GB2312" w:hAnsi="仿宋_GB2312" w:cs="仿宋_GB2312" w:eastAsia="仿宋_GB2312"/>
                <w:sz w:val="21"/>
              </w:rPr>
              <w:t>房、</w:t>
            </w:r>
            <w:r>
              <w:rPr>
                <w:rFonts w:ascii="仿宋_GB2312" w:hAnsi="仿宋_GB2312" w:cs="仿宋_GB2312" w:eastAsia="仿宋_GB2312"/>
                <w:sz w:val="21"/>
              </w:rPr>
              <w:t>审判信息管</w:t>
            </w:r>
            <w:r>
              <w:rPr>
                <w:rFonts w:ascii="仿宋_GB2312" w:hAnsi="仿宋_GB2312" w:cs="仿宋_GB2312" w:eastAsia="仿宋_GB2312"/>
                <w:sz w:val="21"/>
              </w:rPr>
              <w:t>理</w:t>
            </w:r>
            <w:r>
              <w:rPr>
                <w:rFonts w:ascii="仿宋_GB2312" w:hAnsi="仿宋_GB2312" w:cs="仿宋_GB2312" w:eastAsia="仿宋_GB2312"/>
                <w:sz w:val="21"/>
              </w:rPr>
              <w:t>用房、诉讼档案用房、司法警察警务用房和辅助用房、职工餐厅等。</w:t>
            </w:r>
          </w:p>
          <w:p>
            <w:pPr>
              <w:pStyle w:val="null3"/>
              <w:numPr>
                <w:ilvl w:val="0"/>
                <w:numId w:val="1"/>
              </w:numPr>
            </w:pPr>
            <w:r>
              <w:rPr>
                <w:rFonts w:ascii="仿宋_GB2312" w:hAnsi="仿宋_GB2312" w:cs="仿宋_GB2312" w:eastAsia="仿宋_GB2312"/>
                <w:sz w:val="21"/>
                <w:b/>
              </w:rPr>
              <w:t>服务内容</w:t>
            </w:r>
          </w:p>
          <w:p>
            <w:pPr>
              <w:pStyle w:val="null3"/>
              <w:ind w:firstLine="420"/>
            </w:pPr>
            <w:r>
              <w:rPr>
                <w:rFonts w:ascii="仿宋_GB2312" w:hAnsi="仿宋_GB2312" w:cs="仿宋_GB2312" w:eastAsia="仿宋_GB2312"/>
                <w:sz w:val="21"/>
              </w:rPr>
              <w:t>渭南市临渭区人民法院物业及餐厅服务项目</w:t>
            </w:r>
            <w:r>
              <w:rPr>
                <w:rFonts w:ascii="仿宋_GB2312" w:hAnsi="仿宋_GB2312" w:cs="仿宋_GB2312" w:eastAsia="仿宋_GB2312"/>
                <w:sz w:val="21"/>
              </w:rPr>
              <w:t>，提供物业及餐厅服务人员共计：三十五名。其中：项目经理1人、主管1人、设施设备维护3人、秩序维护5人、保洁14人、绿化工1人、会议服务2人、餐厅服务8人。</w:t>
            </w:r>
            <w:r>
              <w:rPr>
                <w:rFonts w:ascii="仿宋_GB2312" w:hAnsi="仿宋_GB2312" w:cs="仿宋_GB2312" w:eastAsia="仿宋_GB2312"/>
                <w:sz w:val="21"/>
              </w:rPr>
              <w:t>以服务</w:t>
            </w:r>
            <w:r>
              <w:rPr>
                <w:rFonts w:ascii="仿宋_GB2312" w:hAnsi="仿宋_GB2312" w:cs="仿宋_GB2312" w:eastAsia="仿宋_GB2312"/>
                <w:sz w:val="21"/>
              </w:rPr>
              <w:t>院方</w:t>
            </w:r>
            <w:r>
              <w:rPr>
                <w:rFonts w:ascii="仿宋_GB2312" w:hAnsi="仿宋_GB2312" w:cs="仿宋_GB2312" w:eastAsia="仿宋_GB2312"/>
                <w:sz w:val="21"/>
              </w:rPr>
              <w:t>为核心，</w:t>
            </w:r>
            <w:r>
              <w:rPr>
                <w:rFonts w:ascii="仿宋_GB2312" w:hAnsi="仿宋_GB2312" w:cs="仿宋_GB2312" w:eastAsia="仿宋_GB2312"/>
                <w:sz w:val="21"/>
              </w:rPr>
              <w:t>为采购方提供优质的物业及餐厅服务。</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服务要求</w:t>
            </w:r>
            <w:r>
              <w:rPr>
                <w:rFonts w:ascii="仿宋_GB2312" w:hAnsi="仿宋_GB2312" w:cs="仿宋_GB2312" w:eastAsia="仿宋_GB2312"/>
                <w:sz w:val="21"/>
                <w:b/>
              </w:rPr>
              <w:t>及</w:t>
            </w:r>
            <w:r>
              <w:rPr>
                <w:rFonts w:ascii="仿宋_GB2312" w:hAnsi="仿宋_GB2312" w:cs="仿宋_GB2312" w:eastAsia="仿宋_GB2312"/>
                <w:sz w:val="21"/>
                <w:b/>
              </w:rPr>
              <w:t>质量、标准</w:t>
            </w:r>
          </w:p>
          <w:p>
            <w:pPr>
              <w:pStyle w:val="null3"/>
            </w:pPr>
            <w:r>
              <w:rPr>
                <w:rFonts w:ascii="仿宋_GB2312" w:hAnsi="仿宋_GB2312" w:cs="仿宋_GB2312" w:eastAsia="仿宋_GB2312"/>
                <w:sz w:val="21"/>
              </w:rPr>
              <w:t>（一）服务要求</w:t>
            </w:r>
          </w:p>
          <w:p>
            <w:pPr>
              <w:pStyle w:val="null3"/>
            </w:pPr>
            <w:r>
              <w:rPr>
                <w:rFonts w:ascii="仿宋_GB2312" w:hAnsi="仿宋_GB2312" w:cs="仿宋_GB2312" w:eastAsia="仿宋_GB2312"/>
                <w:sz w:val="21"/>
              </w:rPr>
              <w:t>1</w:t>
            </w:r>
            <w:r>
              <w:rPr>
                <w:rFonts w:ascii="仿宋_GB2312" w:hAnsi="仿宋_GB2312" w:cs="仿宋_GB2312" w:eastAsia="仿宋_GB2312"/>
                <w:sz w:val="21"/>
                <w:b/>
              </w:rPr>
              <w:t>、项目经理</w:t>
            </w:r>
            <w:r>
              <w:rPr>
                <w:rFonts w:ascii="仿宋_GB2312" w:hAnsi="仿宋_GB2312" w:cs="仿宋_GB2312" w:eastAsia="仿宋_GB2312"/>
                <w:sz w:val="21"/>
              </w:rPr>
              <w:t>：要求具备丰富的管理经验，熟悉并能够熟练运用《物业管理条例》，具备卓越的管理能力和优秀的沟通协调能力，能够高效地处理各类管理事务，确保项目运行顺畅。</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b/>
              </w:rPr>
              <w:t>设施设备维护</w:t>
            </w:r>
            <w:r>
              <w:rPr>
                <w:rFonts w:ascii="仿宋_GB2312" w:hAnsi="仿宋_GB2312" w:cs="仿宋_GB2312" w:eastAsia="仿宋_GB2312"/>
                <w:sz w:val="21"/>
              </w:rPr>
              <w:t>：确保各类设施设备的正常运行，提供强有力的设备保障，维修工作需快速且有效，操作技术严格按照规范执行，确保设备维护的高效性和安全性。</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b/>
              </w:rPr>
              <w:t>秩序维护</w:t>
            </w:r>
            <w:r>
              <w:rPr>
                <w:rFonts w:ascii="仿宋_GB2312" w:hAnsi="仿宋_GB2312" w:cs="仿宋_GB2312" w:eastAsia="仿宋_GB2312"/>
                <w:sz w:val="21"/>
              </w:rPr>
              <w:t>：具备良好的形象和高度的保密意识，工作态度严谨认真，处理各类突发情况反应迅速，确保院内秩序井然。</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b/>
              </w:rPr>
              <w:t>保洁服务</w:t>
            </w:r>
            <w:r>
              <w:rPr>
                <w:rFonts w:ascii="仿宋_GB2312" w:hAnsi="仿宋_GB2312" w:cs="仿宋_GB2312" w:eastAsia="仿宋_GB2312"/>
                <w:sz w:val="21"/>
              </w:rPr>
              <w:t>：保洁工作需做到及时且彻底，确保公共区域的清洁卫生，严格按照安全卫生标准操作，营造一个干净整洁的工作环境。</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b/>
              </w:rPr>
              <w:t>绿化服务</w:t>
            </w:r>
            <w:r>
              <w:rPr>
                <w:rFonts w:ascii="仿宋_GB2312" w:hAnsi="仿宋_GB2312" w:cs="仿宋_GB2312" w:eastAsia="仿宋_GB2312"/>
                <w:sz w:val="21"/>
              </w:rPr>
              <w:t>：绿化养护工作及时，修剪养护技术专业且规范，确保绿化区域的安全和美观，提升整体环境品质。</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b/>
              </w:rPr>
              <w:t>会议服务</w:t>
            </w:r>
            <w:r>
              <w:rPr>
                <w:rFonts w:ascii="仿宋_GB2312" w:hAnsi="仿宋_GB2312" w:cs="仿宋_GB2312" w:eastAsia="仿宋_GB2312"/>
                <w:sz w:val="21"/>
              </w:rPr>
              <w:t>：会议服务人员需具备良好的形象气质，服务态度热情周到，严格遵守服务礼仪规范，牢记保密守则，确保会议服务的专业性和安全性。</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b/>
              </w:rPr>
              <w:t>餐厅服务</w:t>
            </w:r>
            <w:r>
              <w:rPr>
                <w:rFonts w:ascii="仿宋_GB2312" w:hAnsi="仿宋_GB2312" w:cs="仿宋_GB2312" w:eastAsia="仿宋_GB2312"/>
                <w:sz w:val="21"/>
              </w:rPr>
              <w:t>：需全面保障单位人员的就餐服务，充分满足就餐人员的多样化需求，餐厅服务人员需定期进行健康体检，确保食品安全。伙食安排需提前公示，菜品丰富且营养均衡，烹调技术精湛，由厨师长统一协调管理，确保餐厅服务的高质量。</w:t>
            </w:r>
          </w:p>
          <w:p>
            <w:pPr>
              <w:pStyle w:val="null3"/>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b/>
              </w:rPr>
              <w:t>采购需求及人数配置</w:t>
            </w:r>
            <w:r>
              <w:rPr>
                <w:rFonts w:ascii="仿宋_GB2312" w:hAnsi="仿宋_GB2312" w:cs="仿宋_GB2312" w:eastAsia="仿宋_GB2312"/>
                <w:sz w:val="21"/>
              </w:rPr>
              <w:t>：物业及餐厅服务人员共计35人（年龄要求18岁至60周岁），上岗人员需根据其岗位持有相应的电工证、保安证、健康证等相关证书，确保人员资质符合要求。</w:t>
            </w:r>
          </w:p>
          <w:p>
            <w:pPr>
              <w:pStyle w:val="null3"/>
            </w:pPr>
            <w:r>
              <w:rPr>
                <w:rFonts w:ascii="仿宋_GB2312" w:hAnsi="仿宋_GB2312" w:cs="仿宋_GB2312" w:eastAsia="仿宋_GB2312"/>
                <w:sz w:val="21"/>
                <w:b/>
              </w:rPr>
              <w:t>（二）服务</w:t>
            </w:r>
            <w:r>
              <w:rPr>
                <w:rFonts w:ascii="仿宋_GB2312" w:hAnsi="仿宋_GB2312" w:cs="仿宋_GB2312" w:eastAsia="仿宋_GB2312"/>
                <w:sz w:val="21"/>
                <w:b/>
              </w:rPr>
              <w:t>质量、标准</w:t>
            </w:r>
          </w:p>
          <w:p>
            <w:pPr>
              <w:pStyle w:val="null3"/>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设施设备管理</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）供水、供电设备的管理严格按照国家相关规范执行，确保设备符合国家标准，运行状况良好，保障供水、供电系统的正常运行，一旦发现故障，需及时进行处理，确保不影响正常使用。</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）确保各类阀门开闭灵活，系统密封良好，运转过程中无异常声响，实现连续不间断供水，发现问题需及时进行维修，并做好检查、维修记录，确保有据可查。</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）每天对低压配电室进行巡视，巡视内容包括变压器、各种仪表、接头、防小动物设施、接地线、各种标识牌等，确保各项设施设备完好无损。</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配电室、水泵房等设备室需保持地面、设备表面无灰尘，室内照明、门窗正常完好，营造一个整洁的工作环境。</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）积极配合自来水公司、供电局的相关规定要求，确保正常用水用电，保障单位日常运营。</w:t>
            </w:r>
          </w:p>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）公共场所需随时进行检查，发现损坏及时维修，杜绝乱堆乱放杂物现象，保持环境整洁。</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）公共照明设施需做到即坏即修，确保灯泡正常发光，灯罩完好无损，保障公共区域的照明效果。</w:t>
            </w:r>
          </w:p>
          <w:p>
            <w:pPr>
              <w:pStyle w:val="null3"/>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）检查记录、维修记录等需完整记录，确保各项设施设备的运行正常，有据可查。</w:t>
            </w:r>
          </w:p>
          <w:p>
            <w:pPr>
              <w:pStyle w:val="null3"/>
            </w:pPr>
            <w:r>
              <w:rPr>
                <w:rFonts w:ascii="仿宋_GB2312" w:hAnsi="仿宋_GB2312" w:cs="仿宋_GB2312" w:eastAsia="仿宋_GB2312"/>
                <w:sz w:val="21"/>
              </w:rPr>
              <w:t>（9）负责五个基层法庭的水电维护工作，确保法庭的正常用水用电。</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秩序维护服务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）秩序维护人员穿着统一制服，用语礼貌，文明值勤，树立良好的形象。</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）确保院内公共秩序良好，杜绝乱贴乱画现象，维护院内的整洁和秩序。</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）遇有紧急情况或其他安全需要，巡逻岗需在2分钟内到达现场进行确认，确保及时处理各类突发情况。</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）门岗在特殊时段（如上下班期间、领导参观等）需保持立岗，严格控制人员、车辆进出，外来人员需登记并经许可后方可进入，严禁闲杂人员进入院内。</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实施区域24小时不间断巡视，定时进行巡逻，巡逻内容包括巡查车辆停放秩序，确保车辆按指定位置有序停放；巡查设备设施是否完好，发现问题及时报修；巡查办公楼是否有可疑人员。做好巡视记录、交接班记录，确保各项制度齐全，工作有序进行。</w:t>
            </w:r>
          </w:p>
          <w:p>
            <w:pPr>
              <w:pStyle w:val="null3"/>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保洁服务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楼层公共区域服务内容：负责楼内门厅、走廊通道、垃圾桶、公共卫生间、安全楼梯、电梯间等区域的清洁工作，确保整体环境的干净整洁，营造一个舒适的工作环境。</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室外保洁服务内容：涵盖室外地面、栏杆、灯具、标识、宣传牌、信报箱、道路、行人道、行车道以及大门口外包干区域的全方位保洁服务。具体包括清扫地面垃圾、擦拭栏杆和灯具、清洁标识和宣传牌、保持道路及行人道无杂物，确保整体室外环境干净整洁。</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）会议室服务内容：根据会议的具体频次，在会前和会后进行细致的保洁服务，涵盖地面、桌椅、窗台等各个部位。会前确保会议室环境整洁，会后及时清理会议遗留的杂物，保持会议室的干净与整洁。</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）垃圾处理：负责将公共区域内的垃圾转运至院方指定的地点，由院方安排的专业清运团队进行后续的清运工作，确保垃圾处理流程规范、高效。</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做好环境美化及消杀工作，保持环境美观及整体环境的卫生与安全。</w:t>
            </w:r>
          </w:p>
          <w:p>
            <w:pPr>
              <w:pStyle w:val="null3"/>
            </w:pPr>
            <w:r>
              <w:rPr>
                <w:rFonts w:ascii="仿宋_GB2312" w:hAnsi="仿宋_GB2312" w:cs="仿宋_GB2312" w:eastAsia="仿宋_GB2312"/>
                <w:sz w:val="21"/>
              </w:rPr>
              <w:t>（6）五个基层法庭需每年进行两次全面的清洁卫生工作，确保法庭内部环境整洁，为庭审提供良好的环境保障。</w:t>
            </w:r>
          </w:p>
          <w:p>
            <w:pPr>
              <w:pStyle w:val="null3"/>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绿化服务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）全面</w:t>
            </w:r>
            <w:r>
              <w:rPr>
                <w:rFonts w:ascii="仿宋_GB2312" w:hAnsi="仿宋_GB2312" w:cs="仿宋_GB2312" w:eastAsia="仿宋_GB2312"/>
                <w:sz w:val="21"/>
              </w:rPr>
              <w:t>负责花草树木的绿化养护工作，包括浇水、施肥、修剪等，确保绿化植物的健康生长。</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）绿化工需具备专业技术，操作规范，确保绿化工作的专业性和高效性。</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）院内绿化修剪养护要及时进行，确保绿化植物形态美观，生长旺盛。</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）定期对绿化植物进行施肥、浇水，保证植物的营养供给和水分需求。</w:t>
            </w:r>
          </w:p>
          <w:p>
            <w:pPr>
              <w:pStyle w:val="null3"/>
            </w:pPr>
            <w:r>
              <w:rPr>
                <w:rFonts w:ascii="仿宋_GB2312" w:hAnsi="仿宋_GB2312" w:cs="仿宋_GB2312" w:eastAsia="仿宋_GB2312"/>
                <w:sz w:val="21"/>
              </w:rPr>
              <w:t>（5）楼内绿植细致养护，确保室内绿植的生机勃勃。</w:t>
            </w:r>
          </w:p>
          <w:p>
            <w:pPr>
              <w:pStyle w:val="null3"/>
            </w:pPr>
            <w:r>
              <w:rPr>
                <w:rFonts w:ascii="仿宋_GB2312" w:hAnsi="仿宋_GB2312" w:cs="仿宋_GB2312" w:eastAsia="仿宋_GB2312"/>
                <w:sz w:val="21"/>
                <w:b/>
              </w:rPr>
              <w:t>5</w:t>
            </w:r>
            <w:r>
              <w:rPr>
                <w:rFonts w:ascii="仿宋_GB2312" w:hAnsi="仿宋_GB2312" w:cs="仿宋_GB2312" w:eastAsia="仿宋_GB2312"/>
                <w:sz w:val="21"/>
                <w:b/>
              </w:rPr>
              <w:t>、</w:t>
            </w:r>
            <w:r>
              <w:rPr>
                <w:rFonts w:ascii="仿宋_GB2312" w:hAnsi="仿宋_GB2312" w:cs="仿宋_GB2312" w:eastAsia="仿宋_GB2312"/>
                <w:sz w:val="21"/>
                <w:b/>
              </w:rPr>
              <w:t>会议服务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）详细了解会议的具体需求，按照需求组织相关人员做好会前的各项准备工作，确保会议顺利进行。</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）会议服务人员应保持仪表清洁，举止端庄，始终保持微笑服务，使用礼貌用语，展现良好的服务态度。</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）倒茶时需遵循先宾后主、先主席台上后主席台下的顺序，从左往右依次进行，确保茶水准确无误地放置在来宾的右手位。</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）会议过程中应随时关注并满足宾客的服务需求，原则上每隔15分钟进行一次添茶服务，确保宾客的茶水供应充足。</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）会议结束后及时收拾并清洗茶具，整理桌椅，关闭照明和空调设施，确保会议室恢复整洁状态后方可离开。</w:t>
            </w:r>
          </w:p>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）会议室卫生需每星期进行一次大扫除，每天进行日常保洁，确保无卫生死角，保持会议室的干净整洁。</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负责法院整体的文件收发工作，确保文件传递及时、准确。</w:t>
            </w:r>
          </w:p>
          <w:p>
            <w:pPr>
              <w:pStyle w:val="null3"/>
            </w:pPr>
            <w:r>
              <w:rPr>
                <w:rFonts w:ascii="仿宋_GB2312" w:hAnsi="仿宋_GB2312" w:cs="仿宋_GB2312" w:eastAsia="仿宋_GB2312"/>
                <w:sz w:val="21"/>
              </w:rPr>
              <w:t>（8）定期进行回访，收集反馈意见，不断改进服务质量，提升服务水平。</w:t>
            </w:r>
          </w:p>
          <w:p>
            <w:pPr>
              <w:pStyle w:val="null3"/>
            </w:pPr>
            <w:r>
              <w:rPr>
                <w:rFonts w:ascii="仿宋_GB2312" w:hAnsi="仿宋_GB2312" w:cs="仿宋_GB2312" w:eastAsia="仿宋_GB2312"/>
                <w:sz w:val="21"/>
                <w:b/>
              </w:rPr>
              <w:t>6</w:t>
            </w:r>
            <w:r>
              <w:rPr>
                <w:rFonts w:ascii="仿宋_GB2312" w:hAnsi="仿宋_GB2312" w:cs="仿宋_GB2312" w:eastAsia="仿宋_GB2312"/>
                <w:sz w:val="21"/>
                <w:b/>
              </w:rPr>
              <w:t>、</w:t>
            </w:r>
            <w:r>
              <w:rPr>
                <w:rFonts w:ascii="仿宋_GB2312" w:hAnsi="仿宋_GB2312" w:cs="仿宋_GB2312" w:eastAsia="仿宋_GB2312"/>
                <w:sz w:val="21"/>
                <w:b/>
              </w:rPr>
              <w:t>餐厅服务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）负责本单位机关食堂的日常三餐供应以及临时性用餐安排，确保餐饮服务的正常运转。</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）负责编制每周的菜谱，注重菜品的色香味搭配，确保营养合理，满足就餐人员的多样化需求。</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）负责编制餐厅所需物品和材料的需求单，确保餐厅物资供应充足。</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）负责本工作区域内的卫生以及餐厅整体卫生的管理，确保餐厅环境干净整洁。</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）严格按照食品卫生规定进行食品加工，确保食品安全卫生。</w:t>
            </w:r>
          </w:p>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）餐厅工作人员需注重仪容仪表，上班期间必须穿着整洁的工作服，佩戴口罩，保持良好的职业形象。</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）负责为就餐人员分发菜品，并进行就餐刷卡的监督工作，确保就餐秩序井然。</w:t>
            </w:r>
          </w:p>
          <w:p>
            <w:pPr>
              <w:pStyle w:val="null3"/>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）全体工作人员需熟练掌握消防安全常规知识，严格执行消防安全标准，做到人走灯灭、人走水停，确保餐厅安全。</w:t>
            </w:r>
          </w:p>
          <w:p>
            <w:pPr>
              <w:pStyle w:val="null3"/>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工作人员须服从工作分配，尊敬院方领导和职员，爱岗敬业，尽职尽责，提供优质的餐饮服务。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详见参数</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物业管理服务过程中所需的器具均由中标方自备。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1.中标方提供的物业管理服务人员由中标方自行聘用，与采购方不产生雇佣关系。 2.采购方对中标方所提供的管理服务质量监督检查，发现问题及时要求中标方整改，直至达到质量标准。 3.中标方服务人员要统一着装，衣着整洁，遵守采购方各项规章制度。 中标方在服务过程中应严格要求工作人员，做好各种防护措施，不得擅自挪用采购方的物品，要加强管理，安全作业。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两年。合同首签一年，到期后经考核合格，续签第二年。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渭南市临渭区人民法院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该项目实行按月支付，每月初成交供应商开具上月全额发票给采购人，采购人收到发票后10个工作日内支付上月服务费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该项目实行按月支付，每月初成交供应商开具上月全额发票给采购人，采购人收到发票后10个工作日内支付上月服务费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该项目实行按月支付，每月初成交供应商开具上月全额发票给采购人，采购人收到发票后10个工作日内支付上月服务费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该项目实行按月支付，每月初成交供应商开具上月全额发票给采购人，采购人收到发票后10个工作日内支付上月服务费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该项目实行按月支付，每月初成交供应商开具上月全额发票给采购人，采购人收到发票后10个工作日内支付上月服务费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该项目实行按月支付，每月初成交供应商开具上月全额发票给采购人，采购人收到发票后10个工作日内支付上月服务费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该项目实行按月支付，每月初成交供应商开具上月全额发票给采购人，采购人收到发票后10个工作日内支付上月服务费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该项目实行按月支付，每月初成交供应商开具上月全额发票给采购人，采购人收到发票后10个工作日内支付上月服务费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该项目实行按月支付，每月初成交供应商开具上月全额发票给采购人，采购人收到发票后10个工作日内支付上月服务费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该项目实行按月支付，每月初成交供应商开具上月全额发票给采购人，采购人收到发票后10个工作日内支付上月服务费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该项目实行按月支付，每月初成交供应商开具上月全额发票给采购人，采购人收到发票后10个工作日内支付上月服务费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该项目实行按月支付，每月初成交供应商开具上月全额发票给采购人，采购人收到发票后10个工作日内支付上月服务费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12.00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供应商须提供合法注册的法人或其他组织的营业执照等证明文件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供应商应授权合法的人员参加投标全过程，其中法定代表人直接参加投标的，须提供法定代表人身份证明书。法定代表人授权代表参加投标的，须提供法定代表人授权书。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税收及社保缴纳证明</w:t>
            </w:r>
          </w:p>
        </w:tc>
        <w:tc>
          <w:tcPr>
            <w:tcW w:type="dxa" w:w="3322"/>
          </w:tcPr>
          <w:p>
            <w:pPr>
              <w:pStyle w:val="null3"/>
            </w:pPr>
            <w:r>
              <w:rPr>
                <w:rFonts w:ascii="仿宋_GB2312" w:hAnsi="仿宋_GB2312" w:cs="仿宋_GB2312" w:eastAsia="仿宋_GB2312"/>
              </w:rPr>
              <w:t>提供响应文件递交截止时间前一年内任意一个月的税收缴费凭据；依法免税的应提供相关文件证明；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具有财务审计资质单位出具的2024年度财务报告（成立时间至开标时间不足一年的可提供成立后任意时段的资产负债表）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合同书面声明及承诺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禁止参加政府采购活动期间 ； 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无控股、管理关系承诺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投标文件加盖供应商单位公章签字。</w:t>
            </w:r>
          </w:p>
        </w:tc>
        <w:tc>
          <w:tcPr>
            <w:tcW w:type="dxa" w:w="1661"/>
          </w:tcPr>
          <w:p>
            <w:pPr>
              <w:pStyle w:val="null3"/>
            </w:pPr>
            <w:r>
              <w:rPr>
                <w:rFonts w:ascii="仿宋_GB2312" w:hAnsi="仿宋_GB2312" w:cs="仿宋_GB2312" w:eastAsia="仿宋_GB2312"/>
              </w:rPr>
              <w:t>开标一览表 服务内容及服务邀请应答表 中小企业声明函 商务主要条款响应偏差表.docx 商务应答表 供应商承诺书（一）（二）.docx 商务要求响应表.docx 供应商概况.docx 合同文本.docx 近年业绩的有关证明材料.docx 投标人应提交的相关资格证明材料.docx 投标函 残疾人福利性单位声明函 服务方案 标的清单 投标文件封面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完全理解并接受文件合同条款的要求</w:t>
            </w:r>
          </w:p>
        </w:tc>
        <w:tc>
          <w:tcPr>
            <w:tcW w:type="dxa" w:w="1661"/>
          </w:tcPr>
          <w:p>
            <w:pPr>
              <w:pStyle w:val="null3"/>
            </w:pPr>
            <w:r>
              <w:rPr>
                <w:rFonts w:ascii="仿宋_GB2312" w:hAnsi="仿宋_GB2312" w:cs="仿宋_GB2312" w:eastAsia="仿宋_GB2312"/>
              </w:rPr>
              <w:t>合同文本.docx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服务内容及服务邀请应答表 商务应答表 商务要求响应表.docx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完全理解并接受法律法规和招标文件对供应商的各项须知、规约要求和责任义务，没有出现法律法规或招标文件明确规定的其他被视为“无效响应”的情形</w:t>
            </w:r>
          </w:p>
        </w:tc>
        <w:tc>
          <w:tcPr>
            <w:tcW w:type="dxa" w:w="1661"/>
          </w:tcPr>
          <w:p>
            <w:pPr>
              <w:pStyle w:val="null3"/>
            </w:pPr>
            <w:r>
              <w:rPr>
                <w:rFonts w:ascii="仿宋_GB2312" w:hAnsi="仿宋_GB2312" w:cs="仿宋_GB2312" w:eastAsia="仿宋_GB2312"/>
              </w:rPr>
              <w:t>无“无效响应”情况声明.docx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响应文件质量保证、服务期限、合同条款等商务要求进行响应。完全满足所有商务要求（文件质量、服务期限、合同条款等），得1分；完全满足且每有1项优于要求（需可明确验证），加1分，最多加1分，总分不超过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合同文本.docx</w:t>
            </w:r>
          </w:p>
          <w:p>
            <w:pPr>
              <w:pStyle w:val="null3"/>
            </w:pPr>
            <w:r>
              <w:rPr>
                <w:rFonts w:ascii="仿宋_GB2312" w:hAnsi="仿宋_GB2312" w:cs="仿宋_GB2312" w:eastAsia="仿宋_GB2312"/>
              </w:rPr>
              <w:t>商务主要条款响应偏差表.docx</w:t>
            </w:r>
          </w:p>
          <w:p>
            <w:pPr>
              <w:pStyle w:val="null3"/>
            </w:pPr>
            <w:r>
              <w:rPr>
                <w:rFonts w:ascii="仿宋_GB2312" w:hAnsi="仿宋_GB2312" w:cs="仿宋_GB2312" w:eastAsia="仿宋_GB2312"/>
              </w:rPr>
              <w:t>商务要求响应表.docx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①对本项目工作内容的理解； ②对本项目整体实施服务方案；③保洁服务管理方案④秩序维护管理方案；⑤绿化养护服务管理方案；⑥设备设施维护管理方案；⑦会议服务管理方案；⑧餐厅服务管理方案；⑨项目实施进度计划安排。 二、评审标准 1、完善性：方案必须全面，对评审内容中的各项要求有详细阐述； 2、可实施性：切合本项目实际情况，提出步骤清晰、合理的方案； 3、针对性：方案能够紧扣项目实际情况，内容科学合理。 上述9项评审内容全部满足评审标准得27分，每有一个评审内容缺项扣3分，每有一项评审内容存在缺陷，扣（0-3）分，扣完为止。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①提供服务团队的管理机制、管理制度等。 ②针对本项目安全培训及安全教育制度； ③服务保护措施； ④应急预案和措施； ⑤意外事故处理方案；⑥保洁、安保服务器具、工作服配备方案；⑦为服务人员购买意外伤害保险（须提供承诺书）。 二、评审标准 1、完善性：方案必须全面，对评审内容中的各项要求有详细阐述； 2、可实施性：切合本项目实际情况，提出步骤清晰、合理的方案； 3、针对性：方案能够紧扣项目实际情况，内容科学合理。 上述7项评审内容全部满足评审标准得21分，每有一个评审内容缺项扣3分，每有一项评审内容存在缺陷，扣（0-3）分，扣完为止。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①有针对本项目的专业服务团队，人员配备数量充足，各类人员配备齐全，并按相应岗位提供（电工证、保安证、健康证）相关证书，满足项目要求； ②人员组织结构合理，有明确的岗位职责；③项目经理提供三年以上（含三年）业绩证明材料。（项目经理须提供物业管理工作证明文件或被服务单位加盖公章的证明材料，不提供不得分）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供应商提供2022年7月1日至今类似项目业绩合同（以合同签订时间为准）；一个业绩得1分，最高得5分；不提供不得分。 评审依据：提供完整合同复印件并加盖公章。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 以本次最低有效磋商报价总价为基准价，其价格分为满分。报价得分=（评审基准价／总报价）×30%×100。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详见附件：商务主要条款响应偏差表.docx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详见附件：无“无效响应”情况声明.docx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详见附件：物业及餐厅服务项目合同.docx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