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版本号：ZCSP-临渭区-2026-0005720260330002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临渭区解放街道供电社区健身中心项目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ZCSP-临渭区-2026-00057</w:t>
      </w:r>
      <w:r>
        <w:br/>
      </w:r>
      <w:r>
        <w:br/>
      </w:r>
      <w:r>
        <w:br/>
      </w:r>
    </w:p>
    <w:p>
      <w:pPr>
        <w:pStyle w:val="null3"/>
        <w:jc w:val="center"/>
        <w:outlineLvl w:val="2"/>
      </w:pPr>
      <w:r>
        <w:rPr>
          <w:rFonts w:ascii="仿宋_GB2312" w:hAnsi="仿宋_GB2312" w:cs="仿宋_GB2312" w:eastAsia="仿宋_GB2312"/>
          <w:sz w:val="28"/>
          <w:b/>
        </w:rPr>
        <w:t>陕西省渭南市临渭区解放街道办事处</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陕西省渭南市临渭区解放街道办事处</w:t>
      </w:r>
      <w:r>
        <w:rPr>
          <w:rFonts w:ascii="仿宋_GB2312" w:hAnsi="仿宋_GB2312" w:cs="仿宋_GB2312" w:eastAsia="仿宋_GB2312"/>
        </w:rPr>
        <w:t>委托，拟对</w:t>
      </w:r>
      <w:r>
        <w:rPr>
          <w:rFonts w:ascii="仿宋_GB2312" w:hAnsi="仿宋_GB2312" w:cs="仿宋_GB2312" w:eastAsia="仿宋_GB2312"/>
        </w:rPr>
        <w:t>临渭区解放街道供电社区健身中心项目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ZCSP-临渭区-2026-00057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临渭区解放街道供电社区健身中心项目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位于临渭区解放街道供电社区供电局家属院，项目建设共分为室内室外两部分，室外部分占地面积3300平方米，主要包括拆除原有相关设施，新建门球场、篮球场、小型足球场、地面铺装及制度牌及标识等设施;室内改造建筑面积1650平方米的篮球馆，主要包括地面改造、墙面改造和墙面标识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采购包1（临渭区解放街道供电社区健身中心项目）：属于专门面向中小企业采购。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2、具有良好的商业信誉和健全的财务会计制度以及有依法缴纳税收和社会保障资金的良好记录：：（三种形式的资料提供任何一种即可）1、提供 2024年或2025年财务审计报告（成立时间至开标时间不足一年的可提供成立后任意时段的资产负债表）；2、提供基本存款账户信息及开标日期前三个月内其基本存款账户开户银行出具的资信证明； 3、财政部门认可的政府采购专业担保机构出具的投标担保函；（依法不需要提供财务状况的投标供应商应提供相关证明）；</w:t>
      </w:r>
    </w:p>
    <w:p>
      <w:pPr>
        <w:pStyle w:val="null3"/>
      </w:pPr>
      <w:r>
        <w:rPr>
          <w:rFonts w:ascii="仿宋_GB2312" w:hAnsi="仿宋_GB2312" w:cs="仿宋_GB2312" w:eastAsia="仿宋_GB2312"/>
        </w:rPr>
        <w:t>3、具有履行本合同所必需的设备和专业技术能力的说明或承诺：提供具有履行合同所必需的设备和专业技术能力的承诺函</w:t>
      </w:r>
    </w:p>
    <w:p>
      <w:pPr>
        <w:pStyle w:val="null3"/>
      </w:pPr>
      <w:r>
        <w:rPr>
          <w:rFonts w:ascii="仿宋_GB2312" w:hAnsi="仿宋_GB2312" w:cs="仿宋_GB2312" w:eastAsia="仿宋_GB2312"/>
        </w:rPr>
        <w:t>4、参加政府采购活动前三年内在经营活动中没有重大违法记录的书面声明：参加本次政府采购活动前三年内在经营活动中没有重大违法声明函</w:t>
      </w:r>
    </w:p>
    <w:p>
      <w:pPr>
        <w:pStyle w:val="null3"/>
      </w:pPr>
      <w:r>
        <w:rPr>
          <w:rFonts w:ascii="仿宋_GB2312" w:hAnsi="仿宋_GB2312" w:cs="仿宋_GB2312" w:eastAsia="仿宋_GB2312"/>
        </w:rPr>
        <w:t>5、合法授权：法定代表人被授权人参加的，须出具授权书（附法定代表人、被授权人身份证复印件）及被授权人在本单位证明（提供开标前三个月内任一月在本单位的社保缴纳记录）；法定代表人参加的需提供法人身份证明书；</w:t>
      </w:r>
    </w:p>
    <w:p>
      <w:pPr>
        <w:pStyle w:val="null3"/>
      </w:pPr>
      <w:r>
        <w:rPr>
          <w:rFonts w:ascii="仿宋_GB2312" w:hAnsi="仿宋_GB2312" w:cs="仿宋_GB2312" w:eastAsia="仿宋_GB2312"/>
        </w:rPr>
        <w:t>6、税收缴纳证明：提供投标文件截止时间一年内至少一个月的纳税证明或完税证明（任意税种），纳税证明或完税证明上应有代收机构或税务机关的公章或业务专用章；（依法不需要缴纳税收的投标供应商应提供相关证明）</w:t>
      </w:r>
    </w:p>
    <w:p>
      <w:pPr>
        <w:pStyle w:val="null3"/>
      </w:pPr>
      <w:r>
        <w:rPr>
          <w:rFonts w:ascii="仿宋_GB2312" w:hAnsi="仿宋_GB2312" w:cs="仿宋_GB2312" w:eastAsia="仿宋_GB2312"/>
        </w:rPr>
        <w:t>7、社会保障资金缴纳证明：提供投标文件截止时间一年内至少一个月的社会保障资金缴存单据 或社保机构开具的社会保险参保缴费情况证明，单据或证明上应有社保机构或代收机构的公章或业务专用章；（依法不需要缴纳社会保障资金的投标供应商应提供相关证明）</w:t>
      </w:r>
    </w:p>
    <w:p>
      <w:pPr>
        <w:pStyle w:val="null3"/>
      </w:pPr>
      <w:r>
        <w:rPr>
          <w:rFonts w:ascii="仿宋_GB2312" w:hAnsi="仿宋_GB2312" w:cs="仿宋_GB2312" w:eastAsia="仿宋_GB2312"/>
        </w:rPr>
        <w:t>8、信誉要求：投标供应商不得被“信用中国”（www.creditchina.gov.cn ）列入重大税收违法失信主体；不得被“中国执行信息公开网”（www.zxgk.court.gov.cn ）列入失信被执行人名单；不得被“中国政府采购网”（www.ccgp.gov.cn ）列入政府采购严重违法失信行为记录名单；</w:t>
      </w:r>
    </w:p>
    <w:p>
      <w:pPr>
        <w:pStyle w:val="null3"/>
      </w:pPr>
      <w:r>
        <w:rPr>
          <w:rFonts w:ascii="仿宋_GB2312" w:hAnsi="仿宋_GB2312" w:cs="仿宋_GB2312" w:eastAsia="仿宋_GB2312"/>
        </w:rPr>
        <w:t>9、控股关系：单位负责人为同一人或者存在直接控股、管理关系的不同投标供应商， 不得参加同一合同项下的政府采购活动；</w:t>
      </w:r>
    </w:p>
    <w:p>
      <w:pPr>
        <w:pStyle w:val="null3"/>
      </w:pPr>
      <w:r>
        <w:rPr>
          <w:rFonts w:ascii="仿宋_GB2312" w:hAnsi="仿宋_GB2312" w:cs="仿宋_GB2312" w:eastAsia="仿宋_GB2312"/>
        </w:rPr>
        <w:t>10、供应商资格要求：供应商须具备建设行政主管部门颁发的建筑工程施工总承包三级以上（含三级）资质，且具备有效的安全生产许可证；</w:t>
      </w:r>
    </w:p>
    <w:p>
      <w:pPr>
        <w:pStyle w:val="null3"/>
      </w:pPr>
      <w:r>
        <w:rPr>
          <w:rFonts w:ascii="仿宋_GB2312" w:hAnsi="仿宋_GB2312" w:cs="仿宋_GB2312" w:eastAsia="仿宋_GB2312"/>
        </w:rPr>
        <w:t>11、项目经理资格要求：拟派项目经理须具备有效的建筑工程二级及以上注册建造师及以上执业资格，具备有效的安全生产考核合格B证，且无在建项目，无不良记录；</w:t>
      </w:r>
    </w:p>
    <w:p>
      <w:pPr>
        <w:pStyle w:val="null3"/>
      </w:pPr>
      <w:r>
        <w:rPr>
          <w:rFonts w:ascii="仿宋_GB2312" w:hAnsi="仿宋_GB2312" w:cs="仿宋_GB2312" w:eastAsia="仿宋_GB2312"/>
        </w:rPr>
        <w:t>12、保证金：磋商保证金缴纳凭证</w:t>
      </w:r>
    </w:p>
    <w:p>
      <w:pPr>
        <w:pStyle w:val="null3"/>
      </w:pPr>
      <w:r>
        <w:rPr>
          <w:rFonts w:ascii="仿宋_GB2312" w:hAnsi="仿宋_GB2312" w:cs="仿宋_GB2312" w:eastAsia="仿宋_GB2312"/>
        </w:rPr>
        <w:t>13、联合体：本项目不接受联合体参与投标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陕西省渭南市临渭区解放街道办事处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渭南市解放路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陕西省渭南市临渭区解放街道办事处经办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18892181073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陕西省西安市未央区陕西省西安市经济技术开发区凤城七路长和国际A座1502室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袁新洁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15129883713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刘园</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15829421695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采购包1：871,154.90元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开户名称：品智工程咨询有限公司渭南分公司</w:t>
            </w:r>
          </w:p>
          <w:p>
            <w:pPr>
              <w:pStyle w:val="null3"/>
            </w:pPr>
            <w:r>
              <w:rPr>
                <w:rFonts w:ascii="仿宋_GB2312" w:hAnsi="仿宋_GB2312" w:cs="仿宋_GB2312" w:eastAsia="仿宋_GB2312"/>
              </w:rPr>
              <w:t>开户银行：中国建设银行股份有限公司渭南胜利大街支行</w:t>
            </w:r>
          </w:p>
          <w:p>
            <w:pPr>
              <w:pStyle w:val="null3"/>
            </w:pPr>
            <w:r>
              <w:rPr>
                <w:rFonts w:ascii="仿宋_GB2312" w:hAnsi="仿宋_GB2312" w:cs="仿宋_GB2312" w:eastAsia="仿宋_GB2312"/>
              </w:rPr>
              <w:t>银行账号：61050164140000001103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 计价格【2002】1980 号）及《国家发改委关于降低部分建设项目收费标准规范收费行为等有 关问题的通知》（发改价格[2011]534 号）规定按标准收取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陕西省渭南市临渭区解放街道办事处</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陕西省渭南市临渭区解放街道办事处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陕西省渭南市临渭区解放街道办事处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品智工程咨询有限公司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一、达到验收合格标准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联系人：袁新洁</w:t>
      </w:r>
    </w:p>
    <w:p>
      <w:pPr>
        <w:pStyle w:val="null3"/>
      </w:pPr>
      <w:r>
        <w:rPr>
          <w:rFonts w:ascii="仿宋_GB2312" w:hAnsi="仿宋_GB2312" w:cs="仿宋_GB2312" w:eastAsia="仿宋_GB2312"/>
        </w:rPr>
        <w:t>联系电话：17349239651</w:t>
      </w:r>
    </w:p>
    <w:p>
      <w:pPr>
        <w:pStyle w:val="null3"/>
      </w:pPr>
      <w:r>
        <w:rPr>
          <w:rFonts w:ascii="仿宋_GB2312" w:hAnsi="仿宋_GB2312" w:cs="仿宋_GB2312" w:eastAsia="仿宋_GB2312"/>
        </w:rPr>
        <w:t>地址：渭南市临渭区海兴城南门商铺</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871,154.90</w:t>
      </w:r>
    </w:p>
    <w:p>
      <w:pPr>
        <w:pStyle w:val="null3"/>
      </w:pPr>
      <w:r>
        <w:rPr>
          <w:rFonts w:ascii="仿宋_GB2312" w:hAnsi="仿宋_GB2312" w:cs="仿宋_GB2312" w:eastAsia="仿宋_GB2312"/>
        </w:rPr>
        <w:t>采购包最高限价（元）: 871,154.90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临渭区解放街道供电社区健身中心项目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871,154.90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标的名称：临渭区解放街道供电社区健身中心项目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r>
              <w:br/>
            </w:r>
            <w:r>
              <w:rPr>
                <w:rFonts w:ascii="仿宋_GB2312" w:hAnsi="仿宋_GB2312" w:cs="仿宋_GB2312" w:eastAsia="仿宋_GB2312"/>
              </w:rPr>
              <w:t xml:space="preserve"> 工程名称：临渭区解放街道供电社区健身中心项目</w:t>
            </w:r>
            <w:r>
              <w:br/>
            </w:r>
            <w:r>
              <w:rPr>
                <w:rFonts w:ascii="仿宋_GB2312" w:hAnsi="仿宋_GB2312" w:cs="仿宋_GB2312" w:eastAsia="仿宋_GB2312"/>
              </w:rPr>
              <w:t xml:space="preserve"> 工程地点：临渭区解放街道供电社区供电局家属院  。</w:t>
            </w:r>
            <w:r>
              <w:br/>
            </w:r>
            <w:r>
              <w:rPr>
                <w:rFonts w:ascii="仿宋_GB2312" w:hAnsi="仿宋_GB2312" w:cs="仿宋_GB2312" w:eastAsia="仿宋_GB2312"/>
              </w:rPr>
              <w:t xml:space="preserve"> 工程内容：室内室外两部分，室外部分占地面积3300平方米，主要包括拆除原有相关设施，新建门球场、篮球场、小型足球场、地面铺装及制度牌及标识等设施;室内改造建筑面积1650平方米的篮球馆，主要包括地面改造、墙面改造和墙面标识等。</w:t>
            </w:r>
            <w:r>
              <w:br/>
            </w:r>
            <w:r>
              <w:rPr>
                <w:rFonts w:ascii="仿宋_GB2312" w:hAnsi="仿宋_GB2312" w:cs="仿宋_GB2312" w:eastAsia="仿宋_GB2312"/>
              </w:rPr>
              <w:t xml:space="preserve"> 工期：60日历天</w:t>
            </w:r>
          </w:p>
          <w:p>
            <w:pPr>
              <w:pStyle w:val="null3"/>
            </w:pPr>
            <w:r>
              <w:rPr>
                <w:rFonts w:ascii="仿宋_GB2312" w:hAnsi="仿宋_GB2312" w:cs="仿宋_GB2312" w:eastAsia="仿宋_GB2312"/>
              </w:rPr>
              <w:t>质量：合格</w:t>
            </w:r>
            <w:r>
              <w:br/>
            </w:r>
            <w:r>
              <w:rPr>
                <w:rFonts w:ascii="仿宋_GB2312" w:hAnsi="仿宋_GB2312" w:cs="仿宋_GB2312" w:eastAsia="仿宋_GB2312"/>
              </w:rPr>
              <w:t xml:space="preserve"> 质保期：自验收合格之日起1年</w:t>
            </w:r>
            <w:r>
              <w:br/>
            </w:r>
            <w:r>
              <w:rPr>
                <w:rFonts w:ascii="仿宋_GB2312" w:hAnsi="仿宋_GB2312" w:cs="仿宋_GB2312" w:eastAsia="仿宋_GB2312"/>
              </w:rPr>
              <w:t xml:space="preserve"> 二、编制依据：</w:t>
            </w:r>
            <w:r>
              <w:br/>
            </w:r>
            <w:r>
              <w:rPr>
                <w:rFonts w:ascii="仿宋_GB2312" w:hAnsi="仿宋_GB2312" w:cs="仿宋_GB2312" w:eastAsia="仿宋_GB2312"/>
              </w:rPr>
              <w:t xml:space="preserve"> 1、临渭区解放街道供电社区健身中心项目施工图纸。</w:t>
            </w:r>
            <w:r>
              <w:br/>
            </w:r>
            <w:r>
              <w:rPr>
                <w:rFonts w:ascii="仿宋_GB2312" w:hAnsi="仿宋_GB2312" w:cs="仿宋_GB2312" w:eastAsia="仿宋_GB2312"/>
              </w:rPr>
              <w:t xml:space="preserve"> 2、陕西省住房和城乡建设厅发布《陕西省建设工程费用规则》（2025）；</w:t>
            </w:r>
            <w:r>
              <w:br/>
            </w:r>
            <w:r>
              <w:rPr>
                <w:rFonts w:ascii="仿宋_GB2312" w:hAnsi="仿宋_GB2312" w:cs="仿宋_GB2312" w:eastAsia="仿宋_GB2312"/>
              </w:rPr>
              <w:t xml:space="preserve"> 3、《陕西省建设工程工程量清单计价标准》（2025）；</w:t>
            </w:r>
            <w:r>
              <w:br/>
            </w:r>
            <w:r>
              <w:rPr>
                <w:rFonts w:ascii="仿宋_GB2312" w:hAnsi="仿宋_GB2312" w:cs="仿宋_GB2312" w:eastAsia="仿宋_GB2312"/>
              </w:rPr>
              <w:t xml:space="preserve"> 4、《陕西省房屋建筑与装饰工程工程量计算标准》（2025）；</w:t>
            </w:r>
            <w:r>
              <w:br/>
            </w:r>
            <w:r>
              <w:rPr>
                <w:rFonts w:ascii="仿宋_GB2312" w:hAnsi="仿宋_GB2312" w:cs="仿宋_GB2312" w:eastAsia="仿宋_GB2312"/>
              </w:rPr>
              <w:t xml:space="preserve"> 5《陕西省通用安装工程工程量计算标准》（2025）；</w:t>
            </w:r>
            <w:r>
              <w:br/>
            </w:r>
            <w:r>
              <w:rPr>
                <w:rFonts w:ascii="仿宋_GB2312" w:hAnsi="仿宋_GB2312" w:cs="仿宋_GB2312" w:eastAsia="仿宋_GB2312"/>
              </w:rPr>
              <w:t xml:space="preserve"> 6、《陕西省市政工程工程量计算标准》（2025）；</w:t>
            </w:r>
            <w:r>
              <w:br/>
            </w:r>
            <w:r>
              <w:rPr>
                <w:rFonts w:ascii="仿宋_GB2312" w:hAnsi="仿宋_GB2312" w:cs="仿宋_GB2312" w:eastAsia="仿宋_GB2312"/>
              </w:rPr>
              <w:t xml:space="preserve"> 7、《陕西省园林绿化工程工程量计算标准》（2025）、</w:t>
            </w:r>
            <w:r>
              <w:br/>
            </w:r>
            <w:r>
              <w:rPr>
                <w:rFonts w:ascii="仿宋_GB2312" w:hAnsi="仿宋_GB2312" w:cs="仿宋_GB2312" w:eastAsia="仿宋_GB2312"/>
              </w:rPr>
              <w:t xml:space="preserve"> 8、《陕西省房屋建筑与装饰工程消耗量定额》（2025）；</w:t>
            </w:r>
            <w:r>
              <w:br/>
            </w:r>
            <w:r>
              <w:rPr>
                <w:rFonts w:ascii="仿宋_GB2312" w:hAnsi="仿宋_GB2312" w:cs="仿宋_GB2312" w:eastAsia="仿宋_GB2312"/>
              </w:rPr>
              <w:t xml:space="preserve"> 9、《陕西省园林绿化工程消耗量定额》（2025）；</w:t>
            </w:r>
            <w:r>
              <w:br/>
            </w:r>
            <w:r>
              <w:rPr>
                <w:rFonts w:ascii="仿宋_GB2312" w:hAnsi="仿宋_GB2312" w:cs="仿宋_GB2312" w:eastAsia="仿宋_GB2312"/>
              </w:rPr>
              <w:t xml:space="preserve"> 10、《陕西省通用安装工程消耗量定额》（2025）；</w:t>
            </w:r>
            <w:r>
              <w:br/>
            </w:r>
            <w:r>
              <w:rPr>
                <w:rFonts w:ascii="仿宋_GB2312" w:hAnsi="仿宋_GB2312" w:cs="仿宋_GB2312" w:eastAsia="仿宋_GB2312"/>
              </w:rPr>
              <w:t xml:space="preserve"> 11、《陕西省市政工程消耗量定额》（2025）；</w:t>
            </w:r>
            <w:r>
              <w:br/>
            </w:r>
            <w:r>
              <w:rPr>
                <w:rFonts w:ascii="仿宋_GB2312" w:hAnsi="仿宋_GB2312" w:cs="仿宋_GB2312" w:eastAsia="仿宋_GB2312"/>
              </w:rPr>
              <w:t xml:space="preserve"> 12、《陕西省建筑工程施工机械台班费用定额》（2025）；</w:t>
            </w:r>
            <w:r>
              <w:br/>
            </w:r>
            <w:r>
              <w:rPr>
                <w:rFonts w:ascii="仿宋_GB2312" w:hAnsi="仿宋_GB2312" w:cs="仿宋_GB2312" w:eastAsia="仿宋_GB2312"/>
              </w:rPr>
              <w:t xml:space="preserve"> 13、《陕西省建设工程施工仪器仪表台班费用定额》（2025）；</w:t>
            </w:r>
            <w:r>
              <w:br/>
            </w:r>
            <w:r>
              <w:rPr>
                <w:rFonts w:ascii="仿宋_GB2312" w:hAnsi="仿宋_GB2312" w:cs="仿宋_GB2312" w:eastAsia="仿宋_GB2312"/>
              </w:rPr>
              <w:t xml:space="preserve"> 14、《陕西省房屋建筑与装饰工程基价表》（2025）；</w:t>
            </w:r>
            <w:r>
              <w:br/>
            </w:r>
            <w:r>
              <w:rPr>
                <w:rFonts w:ascii="仿宋_GB2312" w:hAnsi="仿宋_GB2312" w:cs="仿宋_GB2312" w:eastAsia="仿宋_GB2312"/>
              </w:rPr>
              <w:t xml:space="preserve"> 15、《陕西省通用安装工程基价表》（2025）；</w:t>
            </w:r>
            <w:r>
              <w:br/>
            </w:r>
            <w:r>
              <w:rPr>
                <w:rFonts w:ascii="仿宋_GB2312" w:hAnsi="仿宋_GB2312" w:cs="仿宋_GB2312" w:eastAsia="仿宋_GB2312"/>
              </w:rPr>
              <w:t xml:space="preserve"> 16、《陕西省园林绿化工程基价表》（2025）；</w:t>
            </w:r>
            <w:r>
              <w:br/>
            </w:r>
            <w:r>
              <w:rPr>
                <w:rFonts w:ascii="仿宋_GB2312" w:hAnsi="仿宋_GB2312" w:cs="仿宋_GB2312" w:eastAsia="仿宋_GB2312"/>
              </w:rPr>
              <w:t xml:space="preserve"> 17、《陕西省市政工程基价表》（2025）；</w:t>
            </w:r>
            <w:r>
              <w:br/>
            </w:r>
            <w:r>
              <w:rPr>
                <w:rFonts w:ascii="仿宋_GB2312" w:hAnsi="仿宋_GB2312" w:cs="仿宋_GB2312" w:eastAsia="仿宋_GB2312"/>
              </w:rPr>
              <w:t xml:space="preserve"> 18、现行相关的专业工程施工质量验收规范、标准、规定，以及常规的施工组织，施工工艺等。</w:t>
            </w:r>
            <w:r>
              <w:br/>
            </w:r>
            <w:r>
              <w:rPr>
                <w:rFonts w:ascii="仿宋_GB2312" w:hAnsi="仿宋_GB2312" w:cs="仿宋_GB2312" w:eastAsia="仿宋_GB2312"/>
              </w:rPr>
              <w:t xml:space="preserve"> 16、材料价格参照2025《渭南市工程造价信息》第六期、2025年10月《陕西省工程造价信息》及当地市场询价。</w:t>
            </w:r>
            <w:r>
              <w:br/>
            </w:r>
            <w:r>
              <w:rPr>
                <w:rFonts w:ascii="仿宋_GB2312" w:hAnsi="仿宋_GB2312" w:cs="仿宋_GB2312" w:eastAsia="仿宋_GB2312"/>
              </w:rPr>
              <w:t xml:space="preserve"> 二、编制范围</w:t>
            </w:r>
            <w:r>
              <w:br/>
            </w:r>
            <w:r>
              <w:rPr>
                <w:rFonts w:ascii="仿宋_GB2312" w:hAnsi="仿宋_GB2312" w:cs="仿宋_GB2312" w:eastAsia="仿宋_GB2312"/>
              </w:rPr>
              <w:t xml:space="preserve"> 项目建设共分为室内室外两部分，室外部分占地面积3300平方米，主要包括拆除原有相关设施，新建门球场、篮球场、小型足球场、地面铺装及制度牌及标识等设施;室内改造建筑面积1650平方米的篮球馆，主要包括地面改造、墙面改造和墙面标识等。</w:t>
            </w:r>
            <w:r>
              <w:br/>
            </w:r>
            <w:r>
              <w:rPr>
                <w:rFonts w:ascii="仿宋_GB2312" w:hAnsi="仿宋_GB2312" w:cs="仿宋_GB2312" w:eastAsia="仿宋_GB2312"/>
              </w:rPr>
              <w:t xml:space="preserve"> 三、其他</w:t>
            </w:r>
            <w:r>
              <w:br/>
            </w:r>
            <w:r>
              <w:rPr>
                <w:rFonts w:ascii="仿宋_GB2312" w:hAnsi="仿宋_GB2312" w:cs="仿宋_GB2312" w:eastAsia="仿宋_GB2312"/>
              </w:rPr>
              <w:t xml:space="preserve">  广联达电子版本：广联达云计价平台GCCP7.0 （ 版 本 ：7.5000.23.2）。</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1、工期：自合同签订之日起60日历天。 2、地点：临渭区解放街道供电社区供电局家属院。 3、质量标准：满足采购人需求，达到合格标准。 4、质保期：自竣工验收合格之日起1年。 5、付款进度及方式： 合同签定后 ，达到付款条件起 7 日内，支付合同总金额的 40.00%； 完成工程量的一半 ，达到付款条件起 7 日内，支付合同总金额的25.00%； 竣工验收合格，达到付款条件起 7 日内，支付合同价款的5%：结算审计后 ，达到付款条件起 7 日内，支付合同总金额的 30.00%。</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技术方案.docx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（三种形式的资料提供任何一种即可）关于财务会计制度的证明材料｛注：1、提供 2024年或2025年财务审计报告（成立时间至开标时间不足一年的可提供成立后任意时段的资产负债表）；2、提供基本存款账户信息及开标日期前三个月内其基本存款账户开户银行出具的资信证明； 3、财政部门认可的政府采购专业担保机构出具的投标担保函；（依法不需要提供财务状况的投标供应商应提供相关证明）｝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（三种形式的资料提供任何一种即可）1、提供 2024年或2025年财务审计报告（成立时间至开标时间不足一年的可提供成立后任意时段的资产负债表）；2、提供基本存款账户信息及开标日期前三个月内其基本存款账户开户银行出具的资信证明； 3、财政部门认可的政府采购专业担保机构出具的投标担保函；（依法不需要提供财务状况的投标供应商应提供相关证明）；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具有履行本合同所必需的设备和专业技术能力的说明或承诺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参加本次政府采购活动前三年内在经营活动中没有重大违法声明函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合法授权</w:t>
            </w:r>
          </w:p>
        </w:tc>
        <w:tc>
          <w:tcPr>
            <w:tcW w:type="dxa" w:w="3322"/>
          </w:tcPr>
          <w:p>
            <w:pPr>
              <w:pStyle w:val="null3"/>
            </w:pPr>
            <w:r>
              <w:rPr>
                <w:rFonts w:ascii="仿宋_GB2312" w:hAnsi="仿宋_GB2312" w:cs="仿宋_GB2312" w:eastAsia="仿宋_GB2312"/>
              </w:rPr>
              <w:t>法定代表人被授权人参加的，须出具授权书（附法定代表人、被授权人身份证复印件）及被授权人在本单位证明（提供开标前三个月内任一月在本单位的社保缴纳记录）；法定代表人参加的需提供法人身份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提供投标文件截止时间一年内至少一个月的纳税证明或完税证明（任意税种），纳税证明或完税证明上应有代收机构或税务机关的公章或业务专用章；（依法不需要缴纳税收的投标供应商应提供相关证明）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提供投标文件截止时间一年内至少一个月的社会保障资金缴存单据 或社保机构开具的社会保险参保缴费情况证明，单据或证明上应有社保机构或代收机构的公章或业务专用章；（依法不需要缴纳社会保障资金的投标供应商应提供相关证明）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投标供应商不得被“信用中国”（www.creditchina.gov.cn ）列入重大税收违法失信主体；不得被“中国执行信息公开网”（www.zxgk.court.gov.cn ）列入失信被执行人名单；不得被“中国政府采购网”（www.ccgp.gov.cn ）列入政府采购严重违法失信行为记录名单；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单位负责人为同一人或者存在直接控股、管理关系的不同投标供应商， 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供应商须具备建设行政主管部门颁发的建筑工程施工总承包三级以上（含三级）资质，且具备有效的安全生产许可证；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拟派项目经理须具备有效的建筑工程二级及以上注册建造师及以上执业资格，具备有效的安全生产考核合格B证，且无在建项目，无不良记录；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磋商保证金缴纳凭证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本项目不接受联合体参与投标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按格式填写供应商名称，供应商名称应与营业执照一致</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资格证明文件.docx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有法定代表人或委托代理人签字(或盖章)并加盖单位章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资格证明文件.docx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响应文件格式与内容</w:t>
            </w:r>
          </w:p>
        </w:tc>
        <w:tc>
          <w:tcPr>
            <w:tcW w:type="dxa" w:w="3322"/>
          </w:tcPr>
          <w:p>
            <w:pPr>
              <w:pStyle w:val="null3"/>
            </w:pPr>
            <w:r>
              <w:rPr>
                <w:rFonts w:ascii="仿宋_GB2312" w:hAnsi="仿宋_GB2312" w:cs="仿宋_GB2312" w:eastAsia="仿宋_GB2312"/>
              </w:rPr>
              <w:t>符合磋商文件及第七章“响应文件格式”的要求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资格证明文件.docx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按磋商文件要求缴纳</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资格证明文件.docx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评审得分相同的，按照最后报价由低到高的顺序推荐。评审得分且最后报价相同的，按照技术指标优劣顺序推荐。评审得分且最后报价且技术指标得分均相同的，成交候选供应商由磋商小组无记名投票决定。</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评审内容: 内容至少包括①施工总平面布置;②施工目标:安全目标、工期目标、质量目标;③资源配备计划:主要施工机械设备、劳动力等配备计划;评审标准: 1.完整性:响应全面，对评审内容中的各项要求有详细描述:2.可实施性:内容科学，步骤清晰、合理，可实施性强:3.针对性:能够紧扣项目实际情况，满足具体要求。 赋分标准(9分):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 内容至少包括①施工准备;②施工方法及相关技术措施;③重点难点工程分析及解决措施。评审标准: 1.完整性:响应全面，对评审内容中的各项要求有详细描述:2.可实施性:内容科学，步骤清晰、合理，可实施性强;3.针对性:能够紧扣项目实际情况，满足具体要求。 赋分标准(12分): ①每一项评审内容完全满足评审标准得4分;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评审内容： 内容至少包括①施工进度计划；②工期保障措施。 评审标准： 1.完整性：响应全面，对评审内容中的各项要求有详细描述； 2.可实施性：内容科学，步骤清晰、合理，可实施性强； 3.针对性：能够紧扣项目实际情况，满足具体要求。 赋分标准（10分）： ①每一项评审内容完全满足评审标准得5分；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评审内容： 内容至少包括①质量管理体系；②施工质量保障措施。 评审标准： 1.完整性：响应全面，对评审内容中的各项要求有详细描述； 2.可实施性：内容科学，步骤清晰、合理，可实施性强； 3.针对性：能够紧扣项目实际情况，满足具体要求。 赋分标准（10分）： ①每一项评审内容完全满足评审标准得5分；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评审内容： 内容至少包括①安全生产管理制度②安全施工措施③安全应急预案④安全生产教育。 评审标准： 1.完整性：响应全面，对评审内容中的各项要求有详细描述； 2.可实施性：内容科学，步骤清晰、合理，可实施性强； 3.针对性：能够紧扣项目实际情况，满足具体要求。 赋分标准（12分）：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评审内容： 内容至少包括①文明施工管理及保障措施；②防尘降噪措施；③环境保护管理及保障措施。 评审标准： 1.完整性：响应全面，对评审内容中的各项要求有详细描述； 2.可实施性：内容科学，步骤清晰、合理，可实施性强； 3.针对性：能够紧扣项目实际情况，满足具体要求。 赋分标准（9分）：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评审内容： 供应商针对本项目编制科学的项目管理机构，内容包含:①管理机构组织图②组织机构的岗位职责③项目管理机构人员配备情况。 评审标准： 1.完整性：响应全面，对评审内容中的各项要求有详细描述； 2.可实施性：内容科学，步骤清晰、合理，可实施性强； 3.针对性：能够紧扣项目实际情况，满足具体要求。 赋分标准（6分）： ①每一项评审内容完全满足评审标准得2分；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 年 1月 1 日以来同类项目业绩。以合同签订日期为准，提供完整合同证明资料复印件加盖公章，每提供一份得 1 分，满分 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价格分应当采用低价优先法计算，即满足磋商文件要求且磋商报价最低的报价为评标基准价，其价格分为满分。其他供应商的价格分统一按照下列公式计算： 磋商报价得分=(评标基准价／有效磋商报价)×价格权值×100 注：1.计算分数时四舍五入取小数点后两位。 2.因本项目为专门面向中小企业采购的项目，故不再执行价格评审优惠的扶持政策。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