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2635F">
      <w:pPr>
        <w:pStyle w:val="7"/>
        <w:keepNext w:val="0"/>
        <w:keepLines w:val="0"/>
        <w:pageBreakBefore w:val="0"/>
        <w:numPr>
          <w:ilvl w:val="0"/>
          <w:numId w:val="1"/>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sz w:val="32"/>
          <w:szCs w:val="32"/>
        </w:rPr>
      </w:pPr>
      <w:r>
        <w:rPr>
          <w:rFonts w:hint="eastAsia" w:ascii="仿宋" w:hAnsi="仿宋" w:eastAsia="仿宋" w:cs="仿宋"/>
          <w:b/>
          <w:sz w:val="32"/>
          <w:szCs w:val="32"/>
        </w:rPr>
        <w:t>拟签订采购合同文本</w:t>
      </w:r>
    </w:p>
    <w:p w14:paraId="6F65211A">
      <w:pPr>
        <w:pStyle w:val="7"/>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  </w:t>
      </w:r>
    </w:p>
    <w:p w14:paraId="3B737D13">
      <w:pPr>
        <w:pStyle w:val="7"/>
        <w:keepNext w:val="0"/>
        <w:keepLines w:val="0"/>
        <w:pageBreakBefore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sz w:val="28"/>
          <w:szCs w:val="28"/>
          <w:lang w:val="en-US" w:eastAsia="zh-CN"/>
        </w:rPr>
      </w:pPr>
    </w:p>
    <w:p w14:paraId="0F315FD5">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
          <w:color w:val="auto"/>
          <w:sz w:val="56"/>
          <w:szCs w:val="56"/>
          <w:highlight w:val="none"/>
          <w:lang w:val="en-US" w:eastAsia="zh-CN"/>
        </w:rPr>
      </w:pPr>
    </w:p>
    <w:p w14:paraId="616AC12B">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default" w:ascii="仿宋" w:hAnsi="仿宋" w:eastAsia="仿宋" w:cs="仿宋"/>
          <w:b/>
          <w:color w:val="auto"/>
          <w:sz w:val="40"/>
          <w:szCs w:val="40"/>
          <w:highlight w:val="none"/>
          <w:lang w:val="en-US" w:eastAsia="zh-CN"/>
        </w:rPr>
      </w:pPr>
      <w:r>
        <w:rPr>
          <w:rFonts w:hint="eastAsia" w:ascii="仿宋" w:hAnsi="仿宋" w:eastAsia="仿宋" w:cs="仿宋"/>
          <w:b/>
          <w:color w:val="auto"/>
          <w:sz w:val="48"/>
          <w:szCs w:val="48"/>
          <w:highlight w:val="none"/>
          <w:lang w:val="en-US" w:eastAsia="zh-CN"/>
        </w:rPr>
        <w:t>临渭区解放街道供电社区健身中心项目</w:t>
      </w:r>
    </w:p>
    <w:p w14:paraId="080C19E5">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04B7E58A">
      <w:pPr>
        <w:pStyle w:val="9"/>
        <w:keepNext w:val="0"/>
        <w:keepLines w:val="0"/>
        <w:pageBreakBefore w:val="0"/>
        <w:widowControl w:val="0"/>
        <w:kinsoku/>
        <w:wordWrap/>
        <w:overflowPunct/>
        <w:topLinePunct w:val="0"/>
        <w:autoSpaceDE/>
        <w:autoSpaceDN/>
        <w:bidi w:val="0"/>
        <w:outlineLvl w:val="9"/>
        <w:rPr>
          <w:rFonts w:hint="eastAsia"/>
          <w:color w:val="auto"/>
          <w:highlight w:val="none"/>
        </w:rPr>
      </w:pPr>
    </w:p>
    <w:p w14:paraId="3E7FF7AB">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31DBBD37">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A345149">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本格式条款为合同基础条款，甲乙双方可根据项目实际情况增加条款和内容</w:t>
      </w:r>
      <w:r>
        <w:rPr>
          <w:rFonts w:hint="eastAsia" w:ascii="仿宋" w:hAnsi="仿宋" w:eastAsia="仿宋" w:cs="仿宋"/>
          <w:sz w:val="24"/>
          <w:szCs w:val="24"/>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50DD0319">
      <w:pPr>
        <w:pStyle w:val="9"/>
        <w:keepNext w:val="0"/>
        <w:keepLines w:val="0"/>
        <w:pageBreakBefore w:val="0"/>
        <w:widowControl w:val="0"/>
        <w:kinsoku/>
        <w:wordWrap/>
        <w:overflowPunct/>
        <w:topLinePunct w:val="0"/>
        <w:autoSpaceDE/>
        <w:autoSpaceDN/>
        <w:bidi w:val="0"/>
        <w:outlineLvl w:val="9"/>
        <w:rPr>
          <w:rFonts w:hint="eastAsia"/>
          <w:color w:val="auto"/>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75D9838D">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49763408">
      <w:pPr>
        <w:pStyle w:val="3"/>
        <w:keepNext w:val="0"/>
        <w:keepLines w:val="0"/>
        <w:pageBreakBefore w:val="0"/>
        <w:widowControl w:val="0"/>
        <w:kinsoku/>
        <w:wordWrap/>
        <w:overflowPunct/>
        <w:topLinePunct w:val="0"/>
        <w:autoSpaceDE/>
        <w:autoSpaceDN/>
        <w:bidi w:val="0"/>
        <w:outlineLvl w:val="9"/>
        <w:rPr>
          <w:rFonts w:ascii="仿宋" w:hAnsi="仿宋" w:cs="仿宋"/>
          <w:b/>
          <w:color w:val="auto"/>
          <w:highlight w:val="none"/>
        </w:rPr>
      </w:pPr>
    </w:p>
    <w:p w14:paraId="21E21F1A">
      <w:pPr>
        <w:pStyle w:val="3"/>
        <w:keepNext w:val="0"/>
        <w:keepLines w:val="0"/>
        <w:pageBreakBefore w:val="0"/>
        <w:widowControl w:val="0"/>
        <w:kinsoku/>
        <w:wordWrap/>
        <w:overflowPunct/>
        <w:topLinePunct w:val="0"/>
        <w:autoSpaceDE/>
        <w:autoSpaceDN/>
        <w:bidi w:val="0"/>
        <w:outlineLvl w:val="9"/>
        <w:rPr>
          <w:rFonts w:ascii="仿宋" w:hAnsi="仿宋" w:cs="仿宋"/>
          <w:color w:val="auto"/>
          <w:highlight w:val="none"/>
        </w:rPr>
      </w:pPr>
    </w:p>
    <w:p w14:paraId="278AD2ED">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576A37A8">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469" w:hangingChars="400"/>
        <w:jc w:val="center"/>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469" w:hangingChars="400"/>
        <w:jc w:val="center"/>
        <w:outlineLvl w:val="9"/>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090" w:firstLineChars="569"/>
        <w:jc w:val="both"/>
        <w:textAlignment w:val="auto"/>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72E769A5">
      <w:pPr>
        <w:pStyle w:val="3"/>
        <w:keepNext w:val="0"/>
        <w:keepLines w:val="0"/>
        <w:pageBreakBefore w:val="0"/>
        <w:widowControl w:val="0"/>
        <w:kinsoku/>
        <w:wordWrap/>
        <w:overflowPunct/>
        <w:topLinePunct w:val="0"/>
        <w:autoSpaceDE/>
        <w:autoSpaceDN/>
        <w:bidi w:val="0"/>
        <w:outlineLvl w:val="9"/>
        <w:rPr>
          <w:rFonts w:hint="eastAsia"/>
          <w:color w:val="auto"/>
          <w:highlight w:val="none"/>
        </w:rPr>
      </w:pPr>
    </w:p>
    <w:p w14:paraId="285B03DF">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C1871AF">
      <w:pPr>
        <w:keepNext w:val="0"/>
        <w:keepLines w:val="0"/>
        <w:pageBreakBefore w:val="0"/>
        <w:widowControl w:val="0"/>
        <w:kinsoku/>
        <w:wordWrap/>
        <w:overflowPunct/>
        <w:topLinePunct w:val="0"/>
        <w:autoSpaceDE/>
        <w:autoSpaceDN/>
        <w:bidi w:val="0"/>
        <w:spacing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color w:val="auto"/>
          <w:sz w:val="32"/>
          <w:szCs w:val="32"/>
          <w:highlight w:val="none"/>
        </w:rPr>
        <w:t>合同范本</w:t>
      </w:r>
    </w:p>
    <w:p w14:paraId="274D434E">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31C21F6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6341DECC">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根据《中华人民共和国民法典》《中华人民共和国政府采购法》和《中华人民共和国</w:t>
      </w:r>
      <w:r>
        <w:rPr>
          <w:rFonts w:hint="eastAsia" w:ascii="仿宋" w:hAnsi="仿宋" w:eastAsia="仿宋" w:cs="仿宋"/>
          <w:bCs/>
          <w:color w:val="auto"/>
          <w:sz w:val="28"/>
          <w:szCs w:val="28"/>
          <w:highlight w:val="none"/>
          <w:lang w:eastAsia="zh-CN"/>
        </w:rPr>
        <w:t>建筑法</w:t>
      </w:r>
      <w:r>
        <w:rPr>
          <w:rFonts w:hint="eastAsia" w:ascii="仿宋" w:hAnsi="仿宋" w:eastAsia="仿宋" w:cs="仿宋"/>
          <w:bCs/>
          <w:color w:val="auto"/>
          <w:sz w:val="28"/>
          <w:szCs w:val="28"/>
          <w:highlight w:val="none"/>
        </w:rPr>
        <w:t>》及其它有关法律、行政法规，为明确双方在施工过程中的权利、义务，经双方协商自愿签订本合同。</w:t>
      </w:r>
    </w:p>
    <w:p w14:paraId="26DA142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第一条  工程项目</w:t>
      </w:r>
    </w:p>
    <w:p w14:paraId="5A3C05A4">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一、项目名称：</w:t>
      </w:r>
      <w:r>
        <w:rPr>
          <w:rFonts w:hint="eastAsia" w:ascii="仿宋" w:hAnsi="仿宋" w:eastAsia="仿宋" w:cs="仿宋"/>
          <w:bCs/>
          <w:color w:val="auto"/>
          <w:sz w:val="28"/>
          <w:szCs w:val="28"/>
          <w:highlight w:val="none"/>
          <w:lang w:val="en-US" w:eastAsia="zh-CN"/>
        </w:rPr>
        <w:t>临渭区解放街道供电社区健身中心项目</w:t>
      </w:r>
    </w:p>
    <w:p w14:paraId="55337164">
      <w:pPr>
        <w:pStyle w:val="4"/>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二、工程地点：</w:t>
      </w:r>
      <w:r>
        <w:rPr>
          <w:rFonts w:hint="eastAsia" w:ascii="仿宋" w:hAnsi="仿宋" w:eastAsia="仿宋" w:cs="仿宋"/>
          <w:bCs/>
          <w:color w:val="auto"/>
          <w:sz w:val="28"/>
          <w:szCs w:val="28"/>
          <w:highlight w:val="none"/>
          <w:lang w:val="en-US" w:eastAsia="zh-CN"/>
        </w:rPr>
        <w:t xml:space="preserve">临渭区解放街道供电社区供电局家属院 </w:t>
      </w:r>
    </w:p>
    <w:p w14:paraId="7FD6A112">
      <w:pPr>
        <w:pStyle w:val="4"/>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shd w:val="clear" w:color="auto" w:fill="FFFFFF"/>
          <w:lang w:eastAsia="zh-CN"/>
        </w:rPr>
      </w:pPr>
      <w:r>
        <w:rPr>
          <w:rFonts w:hint="eastAsia" w:ascii="仿宋" w:hAnsi="仿宋" w:eastAsia="仿宋" w:cs="仿宋"/>
          <w:bCs/>
          <w:color w:val="auto"/>
          <w:sz w:val="28"/>
          <w:szCs w:val="28"/>
          <w:highlight w:val="none"/>
        </w:rPr>
        <w:t>三、工程内容：</w:t>
      </w:r>
      <w:r>
        <w:rPr>
          <w:rFonts w:hint="eastAsia" w:ascii="仿宋" w:hAnsi="仿宋" w:eastAsia="仿宋" w:cs="仿宋"/>
          <w:bCs/>
          <w:color w:val="auto"/>
          <w:sz w:val="28"/>
          <w:szCs w:val="28"/>
          <w:highlight w:val="none"/>
          <w:lang w:val="en-US" w:eastAsia="zh-CN"/>
        </w:rPr>
        <w:t xml:space="preserve">项目建设共分为室内室外两部分，室外部分占地面积3300平方米，主要包括拆除原有相关设施，新建门球场、篮球场、小型足球场、地面铺装及制度牌及标识等设施;室内改造建筑面积1650平方米的篮球馆，主要包括地面改造、墙面改造和墙面标识等。 </w:t>
      </w:r>
    </w:p>
    <w:p w14:paraId="67F96028">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四、承包形式：固定</w:t>
      </w:r>
      <w:r>
        <w:rPr>
          <w:rFonts w:hint="eastAsia" w:ascii="仿宋" w:hAnsi="仿宋" w:eastAsia="仿宋" w:cs="仿宋"/>
          <w:bCs/>
          <w:color w:val="auto"/>
          <w:sz w:val="28"/>
          <w:szCs w:val="28"/>
          <w:highlight w:val="none"/>
          <w:lang w:val="en-US" w:eastAsia="zh-CN"/>
        </w:rPr>
        <w:t>总价</w:t>
      </w:r>
    </w:p>
    <w:p w14:paraId="3D19CC3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423DD1F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一、</w:t>
      </w:r>
      <w:r>
        <w:rPr>
          <w:rFonts w:hint="eastAsia" w:ascii="仿宋" w:hAnsi="仿宋" w:eastAsia="仿宋" w:cs="仿宋"/>
          <w:b w:val="0"/>
          <w:i w:val="0"/>
          <w:caps w:val="0"/>
          <w:color w:val="auto"/>
          <w:spacing w:val="0"/>
          <w:sz w:val="28"/>
          <w:szCs w:val="28"/>
          <w:highlight w:val="none"/>
          <w:shd w:val="clear" w:color="auto" w:fill="FFFFFF"/>
        </w:rPr>
        <w:t>施工合同；</w:t>
      </w:r>
    </w:p>
    <w:p w14:paraId="19548A9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二、成交</w:t>
      </w:r>
      <w:r>
        <w:rPr>
          <w:rFonts w:hint="eastAsia" w:ascii="仿宋" w:hAnsi="仿宋" w:eastAsia="仿宋" w:cs="仿宋"/>
          <w:b w:val="0"/>
          <w:i w:val="0"/>
          <w:caps w:val="0"/>
          <w:color w:val="auto"/>
          <w:spacing w:val="0"/>
          <w:sz w:val="28"/>
          <w:szCs w:val="28"/>
          <w:highlight w:val="none"/>
          <w:shd w:val="clear" w:color="auto" w:fill="FFFFFF"/>
        </w:rPr>
        <w:t>通知书；</w:t>
      </w:r>
    </w:p>
    <w:p w14:paraId="3CC2C29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三、竞争性磋商响应文件</w:t>
      </w:r>
      <w:r>
        <w:rPr>
          <w:rFonts w:hint="eastAsia" w:ascii="仿宋" w:hAnsi="仿宋" w:eastAsia="仿宋" w:cs="仿宋"/>
          <w:b w:val="0"/>
          <w:i w:val="0"/>
          <w:caps w:val="0"/>
          <w:color w:val="auto"/>
          <w:spacing w:val="0"/>
          <w:sz w:val="28"/>
          <w:szCs w:val="28"/>
          <w:highlight w:val="none"/>
          <w:shd w:val="clear" w:color="auto" w:fill="FFFFFF"/>
        </w:rPr>
        <w:t>及其附件；</w:t>
      </w:r>
    </w:p>
    <w:p w14:paraId="1EA76DA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四</w:t>
      </w:r>
      <w:r>
        <w:rPr>
          <w:rFonts w:hint="eastAsia" w:ascii="仿宋" w:hAnsi="仿宋" w:eastAsia="仿宋" w:cs="仿宋"/>
          <w:b w:val="0"/>
          <w:i w:val="0"/>
          <w:caps w:val="0"/>
          <w:color w:val="auto"/>
          <w:spacing w:val="0"/>
          <w:sz w:val="28"/>
          <w:szCs w:val="28"/>
          <w:highlight w:val="none"/>
          <w:shd w:val="clear" w:color="auto" w:fill="FFFFFF"/>
        </w:rPr>
        <w:t>、标准、规范及有关技术文件；</w:t>
      </w:r>
    </w:p>
    <w:p w14:paraId="5783231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五</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工程量清单</w:t>
      </w:r>
      <w:r>
        <w:rPr>
          <w:rFonts w:hint="eastAsia" w:ascii="仿宋" w:hAnsi="仿宋" w:eastAsia="仿宋" w:cs="仿宋"/>
          <w:b w:val="0"/>
          <w:i w:val="0"/>
          <w:caps w:val="0"/>
          <w:color w:val="auto"/>
          <w:spacing w:val="0"/>
          <w:sz w:val="28"/>
          <w:szCs w:val="28"/>
          <w:highlight w:val="none"/>
          <w:shd w:val="clear" w:color="auto" w:fill="FFFFFF"/>
        </w:rPr>
        <w:t>；</w:t>
      </w:r>
    </w:p>
    <w:p w14:paraId="1AE1358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六</w:t>
      </w:r>
      <w:r>
        <w:rPr>
          <w:rFonts w:hint="eastAsia" w:ascii="仿宋" w:hAnsi="仿宋" w:eastAsia="仿宋" w:cs="仿宋"/>
          <w:b w:val="0"/>
          <w:i w:val="0"/>
          <w:caps w:val="0"/>
          <w:color w:val="auto"/>
          <w:spacing w:val="0"/>
          <w:sz w:val="28"/>
          <w:szCs w:val="28"/>
          <w:highlight w:val="none"/>
          <w:shd w:val="clear" w:color="auto" w:fill="FFFFFF"/>
        </w:rPr>
        <w:t>、工程报价单或预算书；</w:t>
      </w:r>
    </w:p>
    <w:p w14:paraId="7E8FB43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七</w:t>
      </w:r>
      <w:r>
        <w:rPr>
          <w:rFonts w:hint="eastAsia" w:ascii="仿宋" w:hAnsi="仿宋" w:eastAsia="仿宋" w:cs="仿宋"/>
          <w:b w:val="0"/>
          <w:i w:val="0"/>
          <w:caps w:val="0"/>
          <w:color w:val="auto"/>
          <w:spacing w:val="0"/>
          <w:sz w:val="28"/>
          <w:szCs w:val="28"/>
          <w:highlight w:val="none"/>
          <w:shd w:val="clear" w:color="auto" w:fill="FFFFFF"/>
        </w:rPr>
        <w:t>、双方有关工程的洽商、变更等书面协议或文件视为施工合同的组成部分。</w:t>
      </w:r>
    </w:p>
    <w:p w14:paraId="0F261C5A">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工程期限</w:t>
      </w:r>
    </w:p>
    <w:p w14:paraId="5410BCD6">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default"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一、合同工期：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日历日</w:t>
      </w:r>
    </w:p>
    <w:p w14:paraId="135B84A3">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32296A6F">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竣工日期：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570BAD7B">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二、如遇下列情况，经甲方现场代表签证后，工期可相应顺延</w:t>
      </w:r>
    </w:p>
    <w:p w14:paraId="41EDAC79">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1、在施工中因停电、停水８小时以上；</w:t>
      </w:r>
    </w:p>
    <w:p w14:paraId="410977AB">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2、连续间歇性停水、停电３天以上（每次连续４小时以上），影响正常施工；</w:t>
      </w:r>
    </w:p>
    <w:p w14:paraId="5F922231">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3、停水停电2天以上；</w:t>
      </w:r>
    </w:p>
    <w:p w14:paraId="5655B6CF">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4、因不可抗力的因素。</w:t>
      </w:r>
    </w:p>
    <w:p w14:paraId="33E7E3A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三、因乙方原因造成施工延迟的，不得请求顺延工期。</w:t>
      </w:r>
    </w:p>
    <w:p w14:paraId="1A4D1FE3">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第四条  工程价款、结算及付款方式</w:t>
      </w:r>
    </w:p>
    <w:p w14:paraId="5063314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合同总价（大写）：人民币____________</w:t>
      </w:r>
    </w:p>
    <w:p w14:paraId="363430EA">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（小写）：</w:t>
      </w:r>
      <w:r>
        <w:rPr>
          <w:rFonts w:hint="eastAsia" w:ascii="仿宋" w:hAnsi="仿宋" w:eastAsia="仿宋" w:cs="仿宋"/>
          <w:color w:val="auto"/>
          <w:kern w:val="0"/>
          <w:sz w:val="28"/>
          <w:szCs w:val="28"/>
          <w:highlight w:val="none"/>
        </w:rPr>
        <w:t>¥</w:t>
      </w:r>
      <w:r>
        <w:rPr>
          <w:rFonts w:hint="eastAsia" w:ascii="仿宋" w:hAnsi="仿宋" w:eastAsia="仿宋" w:cs="仿宋"/>
          <w:bCs/>
          <w:color w:val="auto"/>
          <w:sz w:val="28"/>
          <w:szCs w:val="28"/>
          <w:highlight w:val="none"/>
        </w:rPr>
        <w:t>_________________元</w:t>
      </w:r>
    </w:p>
    <w:p w14:paraId="5C5093AD">
      <w:pPr>
        <w:keepNext w:val="0"/>
        <w:keepLines w:val="0"/>
        <w:pageBreakBefore w:val="0"/>
        <w:widowControl w:val="0"/>
        <w:numPr>
          <w:ilvl w:val="0"/>
          <w:numId w:val="2"/>
        </w:numPr>
        <w:kinsoku/>
        <w:wordWrap/>
        <w:overflowPunct/>
        <w:topLinePunct w:val="0"/>
        <w:autoSpaceDE/>
        <w:autoSpaceDN/>
        <w:bidi w:val="0"/>
        <w:adjustRightInd w:val="0"/>
        <w:snapToGrid w:val="0"/>
        <w:spacing w:line="500" w:lineRule="exact"/>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付款方式：</w:t>
      </w:r>
      <w:r>
        <w:rPr>
          <w:rFonts w:hint="eastAsia" w:ascii="仿宋" w:hAnsi="仿宋" w:eastAsia="仿宋" w:cs="仿宋"/>
          <w:color w:val="auto"/>
          <w:sz w:val="28"/>
          <w:szCs w:val="28"/>
          <w:highlight w:val="none"/>
          <w:lang w:val="en-US" w:eastAsia="zh-CN"/>
        </w:rPr>
        <w:t xml:space="preserve">合同签定后 ，达到付款条件起 7 日内，支付合同总金额的 40.00%； 完成工程量的一半 ，达到付款条件起 7 日内，支付合同总金额的25.00%； 竣工验收合格，达到付款条件起 7 日内，支付合同价款的5%：结算审计后 ，达到付款条件起 7 日内，支付合同总金额的 30.00%。 </w:t>
      </w:r>
    </w:p>
    <w:p w14:paraId="26C46A6F">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kern w:val="10"/>
          <w:sz w:val="28"/>
          <w:szCs w:val="28"/>
          <w:highlight w:val="none"/>
          <w:u w:val="single"/>
          <w:lang w:val="en-US"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合同范围外变更价款调整方式：</w:t>
      </w:r>
      <w:r>
        <w:rPr>
          <w:rFonts w:hint="eastAsia" w:ascii="仿宋" w:hAnsi="仿宋" w:eastAsia="仿宋" w:cs="仿宋"/>
          <w:bCs/>
          <w:color w:val="auto"/>
          <w:sz w:val="28"/>
          <w:szCs w:val="28"/>
          <w:highlight w:val="none"/>
          <w:u w:val="single"/>
          <w:lang w:val="en-US" w:eastAsia="zh-CN"/>
        </w:rPr>
        <w:t xml:space="preserve">             </w:t>
      </w:r>
    </w:p>
    <w:p w14:paraId="7880A5C2">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第五条  材料、设备的供应和采购</w:t>
      </w:r>
    </w:p>
    <w:p w14:paraId="0905260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一、工程材料、设备由乙方采购。</w:t>
      </w:r>
    </w:p>
    <w:p w14:paraId="2277D16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629DF44">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 xml:space="preserve">第六条  </w:t>
      </w:r>
      <w:r>
        <w:rPr>
          <w:rFonts w:hint="eastAsia" w:ascii="仿宋" w:hAnsi="仿宋" w:eastAsia="仿宋" w:cs="仿宋"/>
          <w:bCs/>
          <w:color w:val="auto"/>
          <w:sz w:val="28"/>
          <w:szCs w:val="28"/>
          <w:highlight w:val="none"/>
        </w:rPr>
        <w:t>本项目拟派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3ACB9D6A">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第七条  工程质量管理及验收</w:t>
      </w:r>
    </w:p>
    <w:p w14:paraId="16C8D187">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color w:val="auto"/>
          <w:highlight w:val="none"/>
        </w:rPr>
      </w:pPr>
      <w:r>
        <w:rPr>
          <w:rFonts w:hint="eastAsia" w:ascii="仿宋" w:hAnsi="仿宋" w:eastAsia="仿宋" w:cs="仿宋"/>
          <w:bCs/>
          <w:color w:val="auto"/>
          <w:sz w:val="28"/>
          <w:szCs w:val="28"/>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23616DB8">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二</w:t>
      </w:r>
      <w:r>
        <w:rPr>
          <w:rFonts w:hint="eastAsia" w:ascii="仿宋" w:hAnsi="仿宋" w:eastAsia="仿宋" w:cs="仿宋"/>
          <w:bCs/>
          <w:color w:val="auto"/>
          <w:sz w:val="28"/>
          <w:szCs w:val="28"/>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224D6AB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、工程质量应符合国家及行业规定的建筑工程质量检验评定的“合格”标准。</w:t>
      </w:r>
    </w:p>
    <w:p w14:paraId="16474194">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14:paraId="21079781">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p>
    <w:p w14:paraId="0737E4D9">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九</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工程</w:t>
      </w:r>
      <w:r>
        <w:rPr>
          <w:rFonts w:hint="eastAsia" w:ascii="仿宋" w:hAnsi="仿宋" w:eastAsia="仿宋" w:cs="仿宋"/>
          <w:b/>
          <w:color w:val="auto"/>
          <w:sz w:val="28"/>
          <w:szCs w:val="28"/>
          <w:highlight w:val="none"/>
        </w:rPr>
        <w:t>质量保修</w:t>
      </w:r>
    </w:p>
    <w:p w14:paraId="4693CBE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一、本工程</w:t>
      </w:r>
      <w:r>
        <w:rPr>
          <w:rFonts w:hint="eastAsia" w:ascii="仿宋" w:hAnsi="仿宋" w:eastAsia="仿宋" w:cs="仿宋"/>
          <w:bCs/>
          <w:color w:val="auto"/>
          <w:sz w:val="28"/>
          <w:szCs w:val="28"/>
          <w:highlight w:val="none"/>
          <w:lang w:eastAsia="zh-CN"/>
        </w:rPr>
        <w:t>质量</w:t>
      </w:r>
      <w:r>
        <w:rPr>
          <w:rFonts w:hint="eastAsia" w:ascii="仿宋" w:hAnsi="仿宋" w:eastAsia="仿宋" w:cs="仿宋"/>
          <w:bCs/>
          <w:color w:val="auto"/>
          <w:sz w:val="28"/>
          <w:szCs w:val="28"/>
          <w:highlight w:val="none"/>
        </w:rPr>
        <w:t>保修期自工程竣工验收合格起算。</w:t>
      </w:r>
    </w:p>
    <w:p w14:paraId="20918DE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rPr>
        <w:t>二、质保期：</w:t>
      </w:r>
      <w:r>
        <w:rPr>
          <w:rFonts w:hint="eastAsia" w:ascii="仿宋" w:hAnsi="仿宋" w:eastAsia="仿宋" w:cs="仿宋"/>
          <w:bCs/>
          <w:color w:val="auto"/>
          <w:sz w:val="28"/>
          <w:szCs w:val="28"/>
          <w:highlight w:val="none"/>
          <w:lang w:eastAsia="zh-CN"/>
        </w:rPr>
        <w:t>工程竣工验收合格之日起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年</w:t>
      </w:r>
      <w:r>
        <w:rPr>
          <w:rFonts w:hint="eastAsia" w:ascii="仿宋" w:hAnsi="仿宋" w:eastAsia="仿宋" w:cs="仿宋"/>
          <w:bCs/>
          <w:color w:val="auto"/>
          <w:sz w:val="28"/>
          <w:szCs w:val="28"/>
          <w:highlight w:val="none"/>
          <w:lang w:eastAsia="zh-CN"/>
        </w:rPr>
        <w:t>。</w:t>
      </w:r>
    </w:p>
    <w:p w14:paraId="31BB2D2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、在免费保修期内，乙方应保证通讯畅通，令甲方能够随时同乙方取得联系。乙方在接到甲方维修通知后</w:t>
      </w:r>
      <w:r>
        <w:rPr>
          <w:rFonts w:hint="eastAsia" w:ascii="仿宋" w:hAnsi="仿宋" w:eastAsia="仿宋" w:cs="仿宋"/>
          <w:bCs/>
          <w:color w:val="auto"/>
          <w:sz w:val="28"/>
          <w:szCs w:val="28"/>
          <w:highlight w:val="none"/>
          <w:u w:val="single"/>
          <w:lang w:val="en-US" w:eastAsia="zh-CN"/>
        </w:rPr>
        <w:t xml:space="preserve"> 24 </w:t>
      </w:r>
      <w:r>
        <w:rPr>
          <w:rFonts w:hint="eastAsia" w:ascii="仿宋" w:hAnsi="仿宋" w:eastAsia="仿宋" w:cs="仿宋"/>
          <w:bCs/>
          <w:color w:val="auto"/>
          <w:sz w:val="28"/>
          <w:szCs w:val="28"/>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61BD811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乙方保修联系电话：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；乙方保修联系人：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60F8B757">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第十条  违约责任</w:t>
      </w:r>
    </w:p>
    <w:p w14:paraId="5F7D41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一、甲方的违约责任：</w:t>
      </w:r>
    </w:p>
    <w:p w14:paraId="47BDC7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1、未能按承包合同的约定履行自己应负的责任。除竣工日期得以顺延外，还应赔偿因此发生的实际损失；</w:t>
      </w:r>
    </w:p>
    <w:p w14:paraId="468432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783774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3、工程未经验收，甲方提前使用或擅自动用，因此而发生的质量或其它问题，由甲方承担责任；</w:t>
      </w:r>
    </w:p>
    <w:p w14:paraId="5C23C59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4、超过合同规定日期验收，按合同的违约责任条款的规定偿付逾期违约金。</w:t>
      </w:r>
    </w:p>
    <w:p w14:paraId="60E2D0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二、乙方的违约责任：</w:t>
      </w:r>
    </w:p>
    <w:p w14:paraId="7BAE74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乙方未能按时竣工的，每延期一日应按工程总价款的</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向甲方支付违约金（从工程款中直接扣除）；无故延期15日以上视为根本性违约，甲方有权解除本合同，乙方除应全额退还甲方已支付的工程款外，还应向甲方支付违约</w:t>
      </w:r>
      <w:r>
        <w:rPr>
          <w:rFonts w:hint="eastAsia" w:ascii="仿宋" w:hAnsi="仿宋" w:eastAsia="仿宋" w:cs="仿宋"/>
          <w:bCs/>
          <w:color w:val="auto"/>
          <w:sz w:val="28"/>
          <w:szCs w:val="28"/>
          <w:highlight w:val="none"/>
          <w:lang w:eastAsia="zh-CN"/>
        </w:rPr>
        <w:t>金。</w:t>
      </w:r>
    </w:p>
    <w:p w14:paraId="3B878D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工程出现质量问题视为乙方严重违约，视情节轻重乙方应按工程款的10%-30%向甲方支付违约金（可从工程款中直接扣除），此外应赔偿因此给甲方造成的损失。</w:t>
      </w:r>
    </w:p>
    <w:p w14:paraId="6B0B84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i/>
          <w:iCs/>
          <w:color w:val="auto"/>
          <w:sz w:val="28"/>
          <w:szCs w:val="28"/>
          <w:highlight w:val="none"/>
        </w:rPr>
      </w:pPr>
      <w:r>
        <w:rPr>
          <w:rFonts w:hint="eastAsia" w:ascii="仿宋" w:hAnsi="仿宋" w:eastAsia="仿宋" w:cs="仿宋"/>
          <w:b/>
          <w:bCs w:val="0"/>
          <w:color w:val="auto"/>
          <w:sz w:val="28"/>
          <w:szCs w:val="28"/>
          <w:highlight w:val="none"/>
          <w:lang w:eastAsia="zh-CN"/>
        </w:rPr>
        <w:t>三、</w:t>
      </w:r>
      <w:r>
        <w:rPr>
          <w:rFonts w:hint="eastAsia" w:ascii="仿宋" w:hAnsi="仿宋" w:eastAsia="仿宋" w:cs="仿宋"/>
          <w:b/>
          <w:bCs w:val="0"/>
          <w:i w:val="0"/>
          <w:iCs w:val="0"/>
          <w:color w:val="auto"/>
          <w:sz w:val="28"/>
          <w:szCs w:val="28"/>
          <w:highlight w:val="none"/>
        </w:rPr>
        <w:t>协议一方擅自解除或终止本合同的，违约方应按工程</w:t>
      </w:r>
      <w:r>
        <w:rPr>
          <w:rFonts w:hint="eastAsia" w:ascii="仿宋" w:hAnsi="仿宋" w:eastAsia="仿宋" w:cs="仿宋"/>
          <w:b/>
          <w:bCs w:val="0"/>
          <w:i w:val="0"/>
          <w:iCs w:val="0"/>
          <w:color w:val="auto"/>
          <w:sz w:val="28"/>
          <w:szCs w:val="28"/>
          <w:highlight w:val="none"/>
          <w:lang w:eastAsia="zh-CN"/>
        </w:rPr>
        <w:t>总价</w:t>
      </w:r>
      <w:r>
        <w:rPr>
          <w:rFonts w:hint="eastAsia" w:ascii="仿宋" w:hAnsi="仿宋" w:eastAsia="仿宋" w:cs="仿宋"/>
          <w:b/>
          <w:bCs w:val="0"/>
          <w:i w:val="0"/>
          <w:iCs w:val="0"/>
          <w:color w:val="auto"/>
          <w:sz w:val="28"/>
          <w:szCs w:val="28"/>
          <w:highlight w:val="none"/>
        </w:rPr>
        <w:t>款的20%向守约方支付违约金。</w:t>
      </w:r>
    </w:p>
    <w:p w14:paraId="6566A6CE">
      <w:pPr>
        <w:keepNext w:val="0"/>
        <w:keepLines w:val="0"/>
        <w:pageBreakBefore w:val="0"/>
        <w:widowControl w:val="0"/>
        <w:kinsoku/>
        <w:wordWrap/>
        <w:overflowPunct/>
        <w:topLinePunct w:val="0"/>
        <w:autoSpaceDE/>
        <w:autoSpaceDN/>
        <w:bidi w:val="0"/>
        <w:snapToGrid/>
        <w:spacing w:line="500" w:lineRule="exact"/>
        <w:ind w:right="-197" w:rightChars="-94"/>
        <w:jc w:val="left"/>
        <w:textAlignment w:val="auto"/>
        <w:outlineLvl w:val="9"/>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eastAsia="zh-CN"/>
        </w:rPr>
        <w:t>十一</w:t>
      </w:r>
      <w:r>
        <w:rPr>
          <w:rFonts w:hint="eastAsia" w:ascii="仿宋" w:hAnsi="仿宋" w:eastAsia="仿宋" w:cs="仿宋"/>
          <w:b/>
          <w:bCs/>
          <w:color w:val="auto"/>
          <w:kern w:val="0"/>
          <w:sz w:val="28"/>
          <w:szCs w:val="28"/>
          <w:highlight w:val="none"/>
          <w:u w:val="none" w:color="000000"/>
        </w:rPr>
        <w:t>条  监督和管理</w:t>
      </w:r>
    </w:p>
    <w:p w14:paraId="02506FAB">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B14AA3A">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2、甲乙双方均应自觉配合有关监督管理部门对合同履行情况的监督检查，如实反映情况，提供有关资料；否则，将对有关单位、当事人按照有关规定予以处罚。</w:t>
      </w:r>
    </w:p>
    <w:p w14:paraId="666B0651">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二</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纠纷解决办法</w:t>
      </w:r>
    </w:p>
    <w:p w14:paraId="77DDC77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52759F9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条  附  则</w:t>
      </w:r>
    </w:p>
    <w:p w14:paraId="18EE476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7373C13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440CD28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103647A7">
      <w:pPr>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br w:type="page"/>
      </w:r>
    </w:p>
    <w:p w14:paraId="3D9785B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以下无正文</w:t>
      </w:r>
    </w:p>
    <w:p w14:paraId="5EB651B0">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p>
    <w:p w14:paraId="52B37AC0">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p>
    <w:p w14:paraId="0404F23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p>
    <w:p w14:paraId="46A667E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p>
    <w:p w14:paraId="67DA5ECE">
      <w:pPr>
        <w:pStyle w:val="2"/>
        <w:rPr>
          <w:rFonts w:hint="eastAsia" w:ascii="仿宋" w:hAnsi="仿宋" w:eastAsia="仿宋" w:cs="仿宋"/>
          <w:bCs/>
          <w:color w:val="auto"/>
          <w:sz w:val="28"/>
          <w:szCs w:val="28"/>
          <w:highlight w:val="none"/>
          <w:lang w:bidi="ar"/>
        </w:rPr>
      </w:pPr>
    </w:p>
    <w:p w14:paraId="263F3C31">
      <w:pPr>
        <w:pStyle w:val="2"/>
        <w:rPr>
          <w:rFonts w:hint="eastAsia" w:ascii="仿宋" w:hAnsi="仿宋" w:eastAsia="仿宋" w:cs="仿宋"/>
          <w:bCs/>
          <w:color w:val="auto"/>
          <w:sz w:val="28"/>
          <w:szCs w:val="28"/>
          <w:highlight w:val="none"/>
          <w:lang w:bidi="ar"/>
        </w:rPr>
      </w:pPr>
    </w:p>
    <w:p w14:paraId="790F06A8">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p>
    <w:p w14:paraId="5754887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p>
    <w:p w14:paraId="053CB9E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182B9C0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F1E971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A0738E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7CF65F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14:paraId="43452B5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45E8F0C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17184C7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p w14:paraId="36909294">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7B4A8A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787527AA">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046F0A8E">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445A1749">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p>
    <w:p w14:paraId="6DB7EC51">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 w:hAnsi="仿宋" w:eastAsia="仿宋" w:cs="仿宋"/>
          <w:bCs/>
          <w:color w:val="auto"/>
          <w:sz w:val="28"/>
          <w:szCs w:val="28"/>
          <w:highlight w:val="none"/>
          <w:lang w:bidi="ar"/>
        </w:rPr>
      </w:pPr>
    </w:p>
    <w:p w14:paraId="74CB23E5">
      <w:pPr>
        <w:pStyle w:val="8"/>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eastAsia" w:ascii="仿宋" w:hAnsi="仿宋" w:eastAsia="仿宋" w:cs="仿宋"/>
          <w:bCs/>
          <w:color w:val="auto"/>
          <w:sz w:val="28"/>
          <w:szCs w:val="28"/>
          <w:highlight w:val="none"/>
          <w:lang w:bidi="ar"/>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7BD89"/>
    <w:multiLevelType w:val="singleLevel"/>
    <w:tmpl w:val="E9A7BD89"/>
    <w:lvl w:ilvl="0" w:tentative="0">
      <w:start w:val="8"/>
      <w:numFmt w:val="chineseCounting"/>
      <w:suff w:val="space"/>
      <w:lvlText w:val="第%1章"/>
      <w:lvlJc w:val="left"/>
      <w:rPr>
        <w:rFonts w:hint="eastAsia"/>
      </w:rPr>
    </w:lvl>
  </w:abstractNum>
  <w:abstractNum w:abstractNumId="1">
    <w:nsid w:val="2F138CD5"/>
    <w:multiLevelType w:val="singleLevel"/>
    <w:tmpl w:val="2F138CD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701CBE"/>
    <w:rsid w:val="330B3CCA"/>
    <w:rsid w:val="362849EC"/>
    <w:rsid w:val="468E04C5"/>
    <w:rsid w:val="473A2575"/>
    <w:rsid w:val="52223D07"/>
    <w:rsid w:val="5A193714"/>
    <w:rsid w:val="6762412B"/>
    <w:rsid w:val="6BAA7419"/>
    <w:rsid w:val="75701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9">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2470</Words>
  <Characters>2522</Characters>
  <Lines>0</Lines>
  <Paragraphs>0</Paragraphs>
  <TotalTime>13</TotalTime>
  <ScaleCrop>false</ScaleCrop>
  <LinksUpToDate>false</LinksUpToDate>
  <CharactersWithSpaces>2694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2025-07-24T11:44:00Z</dcterms:created>
  <dc:creator>嗯，就这</dc:creator>
  <cp:lastModifiedBy>三羊开泰</cp:lastModifiedBy>
  <dcterms:modified xsi:type="dcterms:W3CDTF">2026-03-23T06:32:01Z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8F9EFD823B984BAEA0F9CD82AA04F338_13</vt:lpwstr>
  </property>
  <property fmtid="{D5CDD505-2E9C-101B-9397-08002B2CF9AE}" pid="4" name="KSOTemplateDocerSaveRecord">
    <vt:lpwstr>eyJoZGlkIjoiNjE5YzYyMzNmMTVkOTMxNDdmYmZiNDFjZDEzOGUwMGMiLCJ1c2VySWQiOiIyODE3OTg3NTAifQ==</vt:lpwstr>
  </property>
</Properties>
</file>