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版本号：ZCSP-临渭区-2026-0006120260326001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渭南市临渭区崇凝镇敬老院供养楼项目实施详细规划及修建性详细规划编制服务项目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ZCSP-临渭区-2026-00061</w:t>
      </w:r>
      <w:r>
        <w:br/>
      </w:r>
      <w:r>
        <w:br/>
      </w:r>
      <w:r>
        <w:br/>
      </w:r>
    </w:p>
    <w:p>
      <w:pPr>
        <w:pStyle w:val="null3"/>
        <w:jc w:val="center"/>
        <w:outlineLvl w:val="2"/>
      </w:pPr>
      <w:r>
        <w:rPr>
          <w:rFonts w:ascii="仿宋_GB2312" w:hAnsi="仿宋_GB2312" w:cs="仿宋_GB2312" w:eastAsia="仿宋_GB2312"/>
          <w:sz w:val="28"/>
          <w:b/>
        </w:rPr>
        <w:t>渭南市临渭区民政局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渭南市临渭区民政局</w:t>
      </w:r>
      <w:r>
        <w:rPr>
          <w:rFonts w:ascii="仿宋_GB2312" w:hAnsi="仿宋_GB2312" w:cs="仿宋_GB2312" w:eastAsia="仿宋_GB2312"/>
        </w:rPr>
        <w:t>委托，拟对</w:t>
      </w:r>
      <w:r>
        <w:rPr>
          <w:rFonts w:ascii="仿宋_GB2312" w:hAnsi="仿宋_GB2312" w:cs="仿宋_GB2312" w:eastAsia="仿宋_GB2312"/>
        </w:rPr>
        <w:t>渭南市临渭区崇凝镇敬老院供养楼项目实施详细规划及修建性详细规划编制服务项目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ZCSP-临渭区-2026-00061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渭南市临渭区崇凝镇敬老院供养楼项目实施详细规划及修建性详细规划编制服务项目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明确渭南市临渭区崇凝镇敬老院供养楼项目项目后续建设所需的各类核心控制指标，包括但不限于建设强度、容积率、建筑密度、绿地率、建筑高度、停车数量、无障碍设施配置标准等，确保指标符合国土空间规划要求及养老服务中心运营服务需求，为后续建设施工、审批验收提供明确依据，本项目采购内容为渭南市临渭区崇凝镇敬老院供养楼项目实施详细规划及修建性详细规划编制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采购包1（渭南市临渭区崇凝镇敬老院供养楼项目实施详细规划及修建性详细规划编制服务项目）：属于专门面向中小企业采购。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1、企业资质：供应商须具备相关行政主管部门颁发的城乡规划（国土空间规划）编制乙级（含乙级）及以上资质。</w:t>
      </w:r>
    </w:p>
    <w:p>
      <w:pPr>
        <w:pStyle w:val="null3"/>
      </w:pPr>
      <w:r>
        <w:rPr>
          <w:rFonts w:ascii="仿宋_GB2312" w:hAnsi="仿宋_GB2312" w:cs="仿宋_GB2312" w:eastAsia="仿宋_GB2312"/>
        </w:rPr>
        <w:t>2、项目负责人：拟派项目负责人须注册城乡规划师或城乡规划相关专业中级及以上职称证书。</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3、法定代表人身份证明书/法定代表人授权书：法定代表人参与磋商时需提供法定代表人身份证明书；被授权人参与磋商时需提供法定代表人身份证明书以及法定代表人授权书。</w:t>
      </w:r>
    </w:p>
    <w:p>
      <w:pPr>
        <w:pStyle w:val="null3"/>
      </w:pPr>
      <w:r>
        <w:rPr>
          <w:rFonts w:ascii="仿宋_GB2312" w:hAnsi="仿宋_GB2312" w:cs="仿宋_GB2312" w:eastAsia="仿宋_GB2312"/>
        </w:rPr>
        <w:t>4、磋商保证金交纳凭证：磋商保证金缴纳凭证。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临渭区东风街83号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李长江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0913-3039696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薛蒙蒙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发展改革委关于进一步放开建设项目专业服务价格的通知》（发改价格﹝2015﹞299号）的要求，参照计价格﹝2002﹞1980号、发改价格﹝2011﹞534号文件的计费标准，以中标（成交）价为基数计算，按照标准收取； 2.代理服务费由中标（成交）供应商在领取中标（成交）通知书前向采购代理机构一次性支付。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渭南市临渭区民政局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1、规划成果符合国家、省、市相关法律法规、规章及技术标准、规范，尤其是《特困人员供养服务设施(敬老院)建设标准》（建标184-2017）及《养老服务设施布局规划编制技术指南（试行）》的相关要求； 2、规划成果内容完整、逻辑清晰、数据准确，图纸绘制规范、标注清晰，无错漏，符合本采购需求中关于成果质量的要求； 3、规划成果已通过相关主管部门审批备案，具备项目后续立项、招投标、施工建设等使用条件； 4、编制单位已按合同约定完成全部服务内容，提交的成果份数、格式符合要求； 5、服务过程符合合同约定，无违约行为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联系人：薛蒙蒙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明确项目后续建设所需的各类核心控制指标，包括但不限于建设强度、容积率、建筑密度、绿地率、建筑高度、停车数量、无障碍设施配置标准等，确保指标符合国土空间规划要求及养老服务中心运营服务需求，为后续建设施工、审批验收提供明确依据，本项目采购内容为渭南市临渭区崇凝镇敬老院供养楼项目实施详细规划及修建性详细规划编制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475,000.00</w:t>
      </w:r>
    </w:p>
    <w:p>
      <w:pPr>
        <w:pStyle w:val="null3"/>
      </w:pPr>
      <w:r>
        <w:rPr>
          <w:rFonts w:ascii="仿宋_GB2312" w:hAnsi="仿宋_GB2312" w:cs="仿宋_GB2312" w:eastAsia="仿宋_GB2312"/>
        </w:rPr>
        <w:t>采购包最高限价（元）: 475,000.00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渭南市临渭区崇凝镇敬老院供养楼项目实施详细规划及修建性详细规划编制服务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标的名称：渭南市临渭区崇凝镇敬老院供养楼项目实施详细规划及修建性详细规划编制服务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为明确项目后续建设所需的各类核心控制指标，包括但不限于建设强度、容积率、建筑密度、绿地率、建筑高度、停车数量、无障碍设施配置标准等，确保指标符合国土空间规划要求及养老服务中心运营服务需求，为后续建设施工、审批验收提供明确依据，本项目采购内容为渭南市临渭区崇凝镇敬老院供养楼项目实施详细规划及修建性详细规划编制服务。</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本项目服务内容包括但不限于：前期调研、基础资料收集整理、规划方案设计、方案论证修改、规划文本编制、图纸绘制、成果审核、专家评审配合、向相关主管部门报审及修改完善、最终成果交付等全流程服务，确保规划成果通过相关部门审批备案，满足项目后续立项、施工建设等全部使用需求。具体如下：</w:t>
            </w:r>
          </w:p>
          <w:p>
            <w:pPr>
              <w:pStyle w:val="null3"/>
              <w:outlineLvl w:val="2"/>
            </w:pPr>
            <w:r>
              <w:rPr>
                <w:rFonts w:ascii="仿宋_GB2312" w:hAnsi="仿宋_GB2312" w:cs="仿宋_GB2312" w:eastAsia="仿宋_GB2312"/>
                <w:sz w:val="28"/>
                <w:b/>
              </w:rPr>
              <w:t>1、前期调研与资料收集</w:t>
            </w:r>
          </w:p>
          <w:p>
            <w:pPr>
              <w:pStyle w:val="null3"/>
            </w:pPr>
            <w:r>
              <w:rPr>
                <w:rFonts w:ascii="仿宋_GB2312" w:hAnsi="仿宋_GB2312" w:cs="仿宋_GB2312" w:eastAsia="仿宋_GB2312"/>
              </w:rPr>
              <w:t>（1）开展项目地块现场踏勘，详细了解地块地形、地貌、周边环境、基础设施（供水、供电、供热、排水、通信等）现状，以及周边公共服务设施（医疗、交通、商业等）分布情况，形成踏勘报告。</w:t>
            </w:r>
          </w:p>
          <w:p>
            <w:pPr>
              <w:pStyle w:val="null3"/>
            </w:pPr>
            <w:r>
              <w:rPr>
                <w:rFonts w:ascii="仿宋_GB2312" w:hAnsi="仿宋_GB2312" w:cs="仿宋_GB2312" w:eastAsia="仿宋_GB2312"/>
              </w:rPr>
              <w:t>（2）收集项目相关基础资料，包括但不限于：地块红线图、土地利用现状图、地形图、项目立项文件、当地城乡规划、养老服务相关政策文件、敬老院现有设施情况、供养对象数量及需求等，对资料进行整理、分析，为规划编制提供依据。</w:t>
            </w:r>
          </w:p>
          <w:p>
            <w:pPr>
              <w:pStyle w:val="null3"/>
            </w:pPr>
            <w:r>
              <w:rPr>
                <w:rFonts w:ascii="仿宋_GB2312" w:hAnsi="仿宋_GB2312" w:cs="仿宋_GB2312" w:eastAsia="仿宋_GB2312"/>
              </w:rPr>
              <w:t>（3）调研当地同类敬老院供养楼建设案例，结合项目实际需求，借鉴先进规划经验，优化规划方案。</w:t>
            </w:r>
          </w:p>
          <w:p>
            <w:pPr>
              <w:pStyle w:val="null3"/>
              <w:outlineLvl w:val="2"/>
            </w:pPr>
            <w:r>
              <w:rPr>
                <w:rFonts w:ascii="仿宋_GB2312" w:hAnsi="仿宋_GB2312" w:cs="仿宋_GB2312" w:eastAsia="仿宋_GB2312"/>
                <w:sz w:val="28"/>
                <w:b/>
              </w:rPr>
              <w:t>2、实施详细规划编制</w:t>
            </w:r>
          </w:p>
          <w:p>
            <w:pPr>
              <w:pStyle w:val="null3"/>
            </w:pPr>
            <w:r>
              <w:rPr>
                <w:rFonts w:ascii="仿宋_GB2312" w:hAnsi="仿宋_GB2312" w:cs="仿宋_GB2312" w:eastAsia="仿宋_GB2312"/>
              </w:rPr>
              <w:t>（1）结合项目立项要求、地块条件及相关标准，明确项目建设目标、建设规模、功能定位、用地布局、容积率、建筑密度、绿地率等核心指标，符合《特困人员供养服务设施(敬老院)建设标准》（建标184-2017）中关于建设规模、用地布局的相关规定。</w:t>
            </w:r>
          </w:p>
          <w:p>
            <w:pPr>
              <w:pStyle w:val="null3"/>
            </w:pPr>
            <w:r>
              <w:rPr>
                <w:rFonts w:ascii="仿宋_GB2312" w:hAnsi="仿宋_GB2312" w:cs="仿宋_GB2312" w:eastAsia="仿宋_GB2312"/>
              </w:rPr>
              <w:t>（2）规划项目基础设施配套，包括道路系统、给排水系统、供电系统、供热系统、通信系统、消防系统、安防系统等，确保基础设施完善、布局合理，满足项目建设及后期运营需求，其中绿地率和停车场地用地面积不应低于当地的规划要求。</w:t>
            </w:r>
          </w:p>
          <w:p>
            <w:pPr>
              <w:pStyle w:val="null3"/>
            </w:pPr>
            <w:r>
              <w:rPr>
                <w:rFonts w:ascii="仿宋_GB2312" w:hAnsi="仿宋_GB2312" w:cs="仿宋_GB2312" w:eastAsia="仿宋_GB2312"/>
              </w:rPr>
              <w:t>（3）编制实施详细规划文本、说明及相关图纸，明确规划实施的步骤、措施及相关要求，为项目实施提供指导。</w:t>
            </w:r>
          </w:p>
          <w:p>
            <w:pPr>
              <w:pStyle w:val="null3"/>
              <w:outlineLvl w:val="2"/>
            </w:pPr>
            <w:r>
              <w:rPr>
                <w:rFonts w:ascii="仿宋_GB2312" w:hAnsi="仿宋_GB2312" w:cs="仿宋_GB2312" w:eastAsia="仿宋_GB2312"/>
                <w:sz w:val="28"/>
                <w:b/>
              </w:rPr>
              <w:t>3、修建性详细规划编制</w:t>
            </w:r>
          </w:p>
          <w:p>
            <w:pPr>
              <w:pStyle w:val="null3"/>
            </w:pPr>
            <w:r>
              <w:rPr>
                <w:rFonts w:ascii="仿宋_GB2312" w:hAnsi="仿宋_GB2312" w:cs="仿宋_GB2312" w:eastAsia="仿宋_GB2312"/>
              </w:rPr>
              <w:t>（1）在实施详细规划的基础上，细化建筑布局，明确供养楼主体建筑的位置、层数、建筑面积、建筑风格、户型设计等，户型设计需符合老年人生活需求，配备必要的无障碍设施，居室需包含卧室、卫生间及储物空间，宜设置阳台；同时合理布局管理服务用房、附属用房及公共活动空间。</w:t>
            </w:r>
          </w:p>
          <w:p>
            <w:pPr>
              <w:pStyle w:val="null3"/>
            </w:pPr>
            <w:r>
              <w:rPr>
                <w:rFonts w:ascii="仿宋_GB2312" w:hAnsi="仿宋_GB2312" w:cs="仿宋_GB2312" w:eastAsia="仿宋_GB2312"/>
              </w:rPr>
              <w:t>（2）细化场地布局，包括室外活动场地、绿地、衣物晾晒场、停车场、堆场等，临近基地的地方可设置供养对象从事作业劳动的场地，合理规划出入口、道路走向，确保交通顺畅、安全，满足老年人出行需求。</w:t>
            </w:r>
          </w:p>
          <w:p>
            <w:pPr>
              <w:pStyle w:val="null3"/>
            </w:pPr>
            <w:r>
              <w:rPr>
                <w:rFonts w:ascii="仿宋_GB2312" w:hAnsi="仿宋_GB2312" w:cs="仿宋_GB2312" w:eastAsia="仿宋_GB2312"/>
              </w:rPr>
              <w:t>（3）细化配套设施布局，包括医疗保健设施、文化娱乐设施、生活服务设施等，若设置护理型床位，相关用房设置需符合《老年养护院建设标准》的规定；可根据实际需要增设相应的功能用房，确保配套设施齐全、功能完善，与主体建筑协调统一。</w:t>
            </w:r>
          </w:p>
          <w:p>
            <w:pPr>
              <w:pStyle w:val="null3"/>
            </w:pPr>
            <w:r>
              <w:rPr>
                <w:rFonts w:ascii="仿宋_GB2312" w:hAnsi="仿宋_GB2312" w:cs="仿宋_GB2312" w:eastAsia="仿宋_GB2312"/>
              </w:rPr>
              <w:t>（4）编制修建性详细规划文本、说明及相关图纸，包括总平面图、建筑平立剖面图、场地竖向规划图、管线综合规划图、绿化规划图等，图纸深度需满足《建筑工程设计文件编制深度规定》，确保可直接用于项目施工招标及施工建设。</w:t>
            </w:r>
          </w:p>
          <w:p>
            <w:pPr>
              <w:pStyle w:val="null3"/>
              <w:outlineLvl w:val="2"/>
            </w:pPr>
            <w:r>
              <w:rPr>
                <w:rFonts w:ascii="仿宋_GB2312" w:hAnsi="仿宋_GB2312" w:cs="仿宋_GB2312" w:eastAsia="仿宋_GB2312"/>
                <w:sz w:val="28"/>
                <w:b/>
              </w:rPr>
              <w:t>4、方案论证与修改完善</w:t>
            </w:r>
          </w:p>
          <w:p>
            <w:pPr>
              <w:pStyle w:val="null3"/>
            </w:pPr>
            <w:r>
              <w:rPr>
                <w:rFonts w:ascii="仿宋_GB2312" w:hAnsi="仿宋_GB2312" w:cs="仿宋_GB2312" w:eastAsia="仿宋_GB2312"/>
              </w:rPr>
              <w:t>（1）规划方案编制完成后，及时向采购人汇报，配合采购人组织方案研讨，根据采购人意见对方案进行修改完善。</w:t>
            </w:r>
          </w:p>
          <w:p>
            <w:pPr>
              <w:pStyle w:val="null3"/>
            </w:pPr>
            <w:r>
              <w:rPr>
                <w:rFonts w:ascii="仿宋_GB2312" w:hAnsi="仿宋_GB2312" w:cs="仿宋_GB2312" w:eastAsia="仿宋_GB2312"/>
              </w:rPr>
              <w:t>（2）组织或配合采购人邀请相关专家对规划方案进行评审，根据专家评审意见，进一步优化规划方案，确保规划方案科学、合理、合规。</w:t>
            </w:r>
          </w:p>
          <w:p>
            <w:pPr>
              <w:pStyle w:val="null3"/>
              <w:outlineLvl w:val="2"/>
            </w:pPr>
            <w:r>
              <w:rPr>
                <w:rFonts w:ascii="仿宋_GB2312" w:hAnsi="仿宋_GB2312" w:cs="仿宋_GB2312" w:eastAsia="仿宋_GB2312"/>
                <w:sz w:val="28"/>
                <w:b/>
              </w:rPr>
              <w:t>5、报审及成果交付</w:t>
            </w:r>
          </w:p>
          <w:p>
            <w:pPr>
              <w:pStyle w:val="null3"/>
            </w:pPr>
            <w:r>
              <w:rPr>
                <w:rFonts w:ascii="仿宋_GB2312" w:hAnsi="仿宋_GB2312" w:cs="仿宋_GB2312" w:eastAsia="仿宋_GB2312"/>
              </w:rPr>
              <w:t>（1）配合采购人向当地城乡规划等相关主管部门报送规划成果，负责解答主管部门提出的疑问，根据主管部门的审批意见，无偿对规划成果进行修改完善，直至通过审批备案。</w:t>
            </w:r>
          </w:p>
          <w:p>
            <w:pPr>
              <w:pStyle w:val="null3"/>
            </w:pPr>
            <w:r>
              <w:rPr>
                <w:rFonts w:ascii="仿宋_GB2312" w:hAnsi="仿宋_GB2312" w:cs="仿宋_GB2312" w:eastAsia="仿宋_GB2312"/>
              </w:rPr>
              <w:t>（2）规划成果通过审批后，按照采购人要求，交付完整的规划成果资料，包括纸质版和电子版，纸质版需装订规范、份数满足采购人及相关主管部门需求，电子版需采用通用格式，确保可正常查阅、使用。</w:t>
            </w:r>
          </w:p>
          <w:p>
            <w:pPr>
              <w:pStyle w:val="null3"/>
            </w:pPr>
            <w:r>
              <w:rPr>
                <w:rFonts w:ascii="仿宋_GB2312" w:hAnsi="仿宋_GB2312" w:cs="仿宋_GB2312" w:eastAsia="仿宋_GB2312"/>
              </w:rPr>
              <w:t>三、服务具体要求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1.需严格遵循《中华人民共和国城乡规划法》《特困人员供养服务设施(敬老院)建设标准》（建标184-2017）《养老服务设施布局规划编制技术指南（试行）》《老年人建筑设计规范》《建筑设计防火规范》等国家、省、市相关法律法规、规章及技术标准、规范，结合项目实际情况，科学、合理编制规划成果，确保规划的合规性、实用性、前瞻性和可操作性。</w:t>
            </w:r>
          </w:p>
          <w:p>
            <w:pPr>
              <w:pStyle w:val="null3"/>
            </w:pPr>
            <w:r>
              <w:rPr>
                <w:rFonts w:ascii="仿宋_GB2312" w:hAnsi="仿宋_GB2312" w:cs="仿宋_GB2312" w:eastAsia="仿宋_GB2312"/>
              </w:rPr>
              <w:t>2. 规划编制需坚持“以人为本、经济适用、功能完善、设施齐全、绿色节能”的原则，充分考虑供养对象（特困老年人）的生理、心理特点，突出养老服务功能，合理布局居住、医疗保健、公共活动、管理服务等各类用房及配套设施，兼顾安全性、舒适性和便利性，同时符合当地国民经济和社会发展规划、国土空间规划及乡镇规划、村庄建设规划要求。</w:t>
            </w:r>
          </w:p>
          <w:p>
            <w:pPr>
              <w:pStyle w:val="null3"/>
            </w:pPr>
            <w:r>
              <w:rPr>
                <w:rFonts w:ascii="仿宋_GB2312" w:hAnsi="仿宋_GB2312" w:cs="仿宋_GB2312" w:eastAsia="仿宋_GB2312"/>
              </w:rPr>
              <w:t>3. 编制单位需建立专业服务团队，指定专人负责项目对接，及时响应采购人需求，主动沟通规划编制过程中的各类问题，配合采购人开展方案研讨、专家评审、主管部门报审等工作，确保服务高效、优质。</w:t>
            </w:r>
          </w:p>
          <w:p>
            <w:pPr>
              <w:pStyle w:val="null3"/>
            </w:pPr>
            <w:r>
              <w:rPr>
                <w:rFonts w:ascii="仿宋_GB2312" w:hAnsi="仿宋_GB2312" w:cs="仿宋_GB2312" w:eastAsia="仿宋_GB2312"/>
              </w:rPr>
              <w:t>4. 规划成果需符合相关主管部门的审批要求，确保顺利通过评审和备案，若因编制单位自身原因导致规划成果无法通过审批，编制单位需无偿修改完善，直至通过审批，由此产生的一切费用由编制单位承担。</w:t>
            </w:r>
          </w:p>
          <w:p>
            <w:pPr>
              <w:pStyle w:val="null3"/>
            </w:pPr>
            <w:r>
              <w:rPr>
                <w:rFonts w:ascii="仿宋_GB2312" w:hAnsi="仿宋_GB2312" w:cs="仿宋_GB2312" w:eastAsia="仿宋_GB2312"/>
              </w:rPr>
              <w:t>（二）成果要求</w:t>
            </w:r>
          </w:p>
          <w:p>
            <w:pPr>
              <w:pStyle w:val="null3"/>
            </w:pPr>
            <w:r>
              <w:rPr>
                <w:rFonts w:ascii="仿宋_GB2312" w:hAnsi="仿宋_GB2312" w:cs="仿宋_GB2312" w:eastAsia="仿宋_GB2312"/>
              </w:rPr>
              <w:t>（1）. 实施详细规划成果：包括规划文本、规划说明、规划图纸（含用地布局图、基础设施配套规划图等）、相关附件（踏勘报告、资料汇编、专家评审意见及修改说明等）。</w:t>
            </w:r>
          </w:p>
          <w:p>
            <w:pPr>
              <w:pStyle w:val="null3"/>
            </w:pPr>
            <w:r>
              <w:rPr>
                <w:rFonts w:ascii="仿宋_GB2312" w:hAnsi="仿宋_GB2312" w:cs="仿宋_GB2312" w:eastAsia="仿宋_GB2312"/>
              </w:rPr>
              <w:t>（2）. 修建性详细规划成果：包括规划文本、规划说明、规划图纸（含总平面图、建筑平立剖面图、场地竖向规划图、管线综合规划图、绿化规划图、无障碍设施规划图等）、相关附件（方案论证意见、专家评审意见及修改说明等）。</w:t>
            </w:r>
          </w:p>
          <w:p>
            <w:pPr>
              <w:pStyle w:val="null3"/>
            </w:pPr>
            <w:r>
              <w:rPr>
                <w:rFonts w:ascii="仿宋_GB2312" w:hAnsi="仿宋_GB2312" w:cs="仿宋_GB2312" w:eastAsia="仿宋_GB2312"/>
              </w:rPr>
              <w:t>（3）. 成果份数：纸质版不少于8份（其中正本2份、副本6份），电子版2份（U盘存储，含全部成果文件，文本为Word或PDF格式，图纸为CAD或PDF格式），具体份数可根据采购人及相关主管部门要求调整，不额外收取费用。</w:t>
            </w:r>
          </w:p>
          <w:p>
            <w:pPr>
              <w:pStyle w:val="null3"/>
            </w:pPr>
            <w:r>
              <w:rPr>
                <w:rFonts w:ascii="仿宋_GB2312" w:hAnsi="仿宋_GB2312" w:cs="仿宋_GB2312" w:eastAsia="仿宋_GB2312"/>
              </w:rPr>
              <w:t>（4）.成果质量：规划文本内容完整、逻辑清晰、数据准确，符合相关标准及采购人要求；图纸绘制规范、比例恰当、标注清晰，无错漏，可直接用于项目后续工作。</w:t>
            </w:r>
          </w:p>
          <w:p>
            <w:pPr>
              <w:pStyle w:val="null3"/>
            </w:pPr>
            <w:r>
              <w:rPr>
                <w:rFonts w:ascii="仿宋_GB2312" w:hAnsi="仿宋_GB2312" w:cs="仿宋_GB2312" w:eastAsia="仿宋_GB2312"/>
              </w:rPr>
              <w:t>（三）质量要求</w:t>
            </w:r>
          </w:p>
          <w:p>
            <w:pPr>
              <w:pStyle w:val="null3"/>
            </w:pPr>
            <w:r>
              <w:rPr>
                <w:rFonts w:ascii="仿宋_GB2312" w:hAnsi="仿宋_GB2312" w:cs="仿宋_GB2312" w:eastAsia="仿宋_GB2312"/>
              </w:rPr>
              <w:t>1. 编制单位需建立完善的质量控制体系，明确各环节质量责任，确保规划成果的准确性、合规性和实用性，严格按照相关标准及采购人要求编制规划，杜绝出现成果错漏、不符合规范等问题。</w:t>
            </w:r>
          </w:p>
          <w:p>
            <w:pPr>
              <w:pStyle w:val="null3"/>
            </w:pPr>
            <w:r>
              <w:rPr>
                <w:rFonts w:ascii="仿宋_GB2312" w:hAnsi="仿宋_GB2312" w:cs="仿宋_GB2312" w:eastAsia="仿宋_GB2312"/>
              </w:rPr>
              <w:t>2. 规划编制过程中，编制单位需主动与采购人沟通，定期向采购人汇报工作进展，及时反馈遇到的问题，听取采购人意见，确保规划方案符合项目需求。</w:t>
            </w:r>
          </w:p>
          <w:p>
            <w:pPr>
              <w:pStyle w:val="null3"/>
            </w:pPr>
            <w:r>
              <w:rPr>
                <w:rFonts w:ascii="仿宋_GB2312" w:hAnsi="仿宋_GB2312" w:cs="仿宋_GB2312" w:eastAsia="仿宋_GB2312"/>
              </w:rPr>
              <w:t>3. 规划成果通过审批后，编制单位需提供后续技术咨询服务，配合采购人解决项目施工过程中涉及的规划相关问题，提供技术指导，不得额外收取费用。</w:t>
            </w:r>
          </w:p>
          <w:p>
            <w:pPr>
              <w:pStyle w:val="null3"/>
            </w:pPr>
            <w:r>
              <w:rPr>
                <w:rFonts w:ascii="仿宋_GB2312" w:hAnsi="仿宋_GB2312" w:cs="仿宋_GB2312" w:eastAsia="仿宋_GB2312"/>
              </w:rPr>
              <w:t>4. 若规划成果存在质量问题或不符合审批要求，编制单位需无偿修改完善，直至通过审批；若因编制单位自身原因导致规划成果无法通过审批，且经多次修改仍无法满足要求，采购人有权解除合同，编制单位需退还已收取的全部服务费用，并承担由此给采购人造成的损失。</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1、服务标准</w:t>
            </w:r>
          </w:p>
          <w:p>
            <w:pPr>
              <w:pStyle w:val="null3"/>
            </w:pPr>
            <w:r>
              <w:rPr>
                <w:rFonts w:ascii="仿宋_GB2312" w:hAnsi="仿宋_GB2312" w:cs="仿宋_GB2312" w:eastAsia="仿宋_GB2312"/>
              </w:rPr>
              <w:t>（1）在服务范围内按工作内容和要求制定详细的方案，方案科学、合理、可靠。</w:t>
            </w:r>
          </w:p>
          <w:p>
            <w:pPr>
              <w:pStyle w:val="null3"/>
            </w:pPr>
            <w:r>
              <w:rPr>
                <w:rFonts w:ascii="仿宋_GB2312" w:hAnsi="仿宋_GB2312" w:cs="仿宋_GB2312" w:eastAsia="仿宋_GB2312"/>
              </w:rPr>
              <w:t>（2）人员配备合理。有针对本项目的专项服务小组，项目负责人、工作人员分工明确（应有具体成员名单，包括姓名、工作职责等）</w:t>
            </w:r>
          </w:p>
          <w:p>
            <w:pPr>
              <w:pStyle w:val="null3"/>
            </w:pPr>
            <w:r>
              <w:rPr>
                <w:rFonts w:ascii="仿宋_GB2312" w:hAnsi="仿宋_GB2312" w:cs="仿宋_GB2312" w:eastAsia="仿宋_GB2312"/>
              </w:rPr>
              <w:t>（3）有各类突发事件的应急预案和措施，有明确具体的承诺。</w:t>
            </w:r>
          </w:p>
          <w:p>
            <w:pPr>
              <w:pStyle w:val="null3"/>
            </w:pPr>
            <w:r>
              <w:rPr>
                <w:rFonts w:ascii="仿宋_GB2312" w:hAnsi="仿宋_GB2312" w:cs="仿宋_GB2312" w:eastAsia="仿宋_GB2312"/>
              </w:rPr>
              <w:t>（4）供应商所拟派的工作人员，若在服务期间发生任何伤害，采购人概不负责，由供应商自行处理。</w:t>
            </w:r>
          </w:p>
          <w:p>
            <w:pPr>
              <w:pStyle w:val="null3"/>
            </w:pPr>
            <w:r>
              <w:rPr>
                <w:rFonts w:ascii="仿宋_GB2312" w:hAnsi="仿宋_GB2312" w:cs="仿宋_GB2312" w:eastAsia="仿宋_GB2312"/>
              </w:rPr>
              <w:t>2、质量标准</w:t>
            </w:r>
          </w:p>
          <w:p>
            <w:pPr>
              <w:pStyle w:val="null3"/>
            </w:pPr>
            <w:r>
              <w:rPr>
                <w:rFonts w:ascii="仿宋_GB2312" w:hAnsi="仿宋_GB2312" w:cs="仿宋_GB2312" w:eastAsia="仿宋_GB2312"/>
              </w:rPr>
              <w:t>符合国家相关行业规范、规程和有关技术规定并取得相关部门批复。</w:t>
            </w:r>
          </w:p>
          <w:p>
            <w:pPr>
              <w:pStyle w:val="null3"/>
            </w:pPr>
            <w:r>
              <w:rPr>
                <w:rFonts w:ascii="仿宋_GB2312" w:hAnsi="仿宋_GB2312" w:cs="仿宋_GB2312" w:eastAsia="仿宋_GB2312"/>
              </w:rPr>
              <w:t>3、服务期限</w:t>
            </w:r>
          </w:p>
          <w:p>
            <w:pPr>
              <w:pStyle w:val="null3"/>
            </w:pPr>
            <w:r>
              <w:rPr>
                <w:rFonts w:ascii="仿宋_GB2312" w:hAnsi="仿宋_GB2312" w:cs="仿宋_GB2312" w:eastAsia="仿宋_GB2312"/>
              </w:rPr>
              <w:t>自合同签订之日起90日历天。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满足项目实施要求，有针对本项目的专项服务小组，项目负责人、工作人员分工明确（应有具体成员名单，包括姓名、工作职责等）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供应商在实施工作中必须使用下述标准、规范（不限于）： 1.《中华人民共和国城乡规划法》； 2.《特困人员供养服务设施 (敬老院) 建设标准》（建标 184-2017）； 3.《养老服务标准体系建设指南（2025 版）》； 4.《老年人居住建筑设计规范》（GB50340-2016）； 5.《建筑设计防火规范》； 6.《建筑工程设计文件编制深度规定》； 7.《建筑给水排水设计标准》； 8.《低压配电设计规范》。 9.《养老服务设施布局规划编制技术指南（试行）》； 10.《老年养护院建设标准》； 国家及行业其他现行有关规范、规程和地方法规、标准。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1、规划成果符合国家、省、市相关法律法规、规章及技术标准、规范，尤其是《特困人员供养服务设施(敬老院)建设标准》（建标184-2017）及《养老服务设施布局规划编制技术指南（试行）》的相关要求； 2、规划成果内容完整、逻辑清晰、数据准确，图纸绘制规范、标注清晰，无错漏，符合本采购需求中关于成果质量的要求； 3、规划成果已通过相关主管部门审批备案，具备项目后续立项、招投标、施工建设等使用条件； 4、编制单位已按合同约定完成全部服务内容，提交的成果份数、格式符合要求； 5、服务过程符合合同约定，无违约行为。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初步成果通过专家评审后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最终成果获得政府或相关部门批复后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法行为进行相应的处罚。 （二）其他未尽事宜，按《中华人民共和国民法典》中的相关条款执行。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版文件要求：成交供应商在成交结果公告发布后3个工作日内提供叁套纸质响应文件（经编标工具生成的文件直接打印并加盖公章），递交的纸质版文件内容确保与线上电子文件保持一致，不允许修改和补充。（2）根据《政府采购法实施条例》释义，银行、保险、石油石化、电力、电信等有行业特殊情况的，允许法人的分支机构参加政府采购活动；（3）本项目所属行业：其他未列明行业。根据关于印发中小企业划型标准规定的通知 （工信部联企业〔2011〕300号）中小企业划型标准规定：（十六）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2024年度或2025年度财务审计报告（成立时间至磋商时间不足一年的可提供成立后任意时段的资产负债表）或响应文件截止时间前六个月内其基本账户银行出具的资信证明（附基本账户证明）或政府采购信用担保机构出具的磋商担保函； ②税收缴纳证明：提供响应文件递交截止时间前一年内任意一个月的缴费凭据；依法免税的应提供相关文件证明； ③社会保障资金缴纳证明：提供响应文件递交截止时间前一年内任意一个月的社保缴费凭据或社保机构开具的社会保险参保缴费情况证明；依法不需要缴纳社会保障资金的供应商应提供相关文件证明；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①②③三项内容可根据本磋商文件格式要求出具承诺书，成交供应商的承诺书同成交结果一并公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提供具有履行本合同所必需的设备和专业技术能力的说明或承诺；（格式自拟，加盖供应商公章）。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提供参加政府采购活动前三年内在经营活动中无重大违法记录的书面声明；（格式自拟，加盖供应商公章）。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本项目专门面向中小企业采购，供应商应为中型、小型或微型企业，供应商提供中小企业声明函，本项目所属行业：其他未列明行业。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供应商须具备相关行政主管部门颁发的城乡规划（国土空间规划）编制乙级（含乙级）及以上资质。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拟派项目负责人须注册城乡规划师或城乡规划相关专业中级及以上职称证书。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法定代表人参与磋商时需提供法定代表人身份证明书；被授权人参与磋商时需提供法定代表人身份证明书以及法定代表人授权书。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磋商保证金缴纳凭证。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服务内容及服务邀请应答表 供应商其它资料.docx 中小企业声明函 商务应答表 报价表 响应文件封面 政府采购供应商拒绝政府采购领域商业贿赂承诺书.docx 分项报价表.docx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供应商名称应与营业执照等证件相一致</w:t>
            </w:r>
          </w:p>
        </w:tc>
        <w:tc>
          <w:tcPr>
            <w:tcW w:type="dxa" w:w="1661"/>
          </w:tcPr>
          <w:p>
            <w:pPr>
              <w:pStyle w:val="null3"/>
            </w:pPr>
            <w:r>
              <w:rPr>
                <w:rFonts w:ascii="仿宋_GB2312" w:hAnsi="仿宋_GB2312" w:cs="仿宋_GB2312" w:eastAsia="仿宋_GB2312"/>
              </w:rPr>
              <w:t>服务内容及服务邀请应答表 供应商其它资料.docx 中小企业声明函 商务应答表 报价表 响应文件封面 政府采购供应商拒绝政府采购领域商业贿赂承诺书.docx 分项报价表.docx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服务期满足磋商文件规定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满足磋商文件实质性服务技术及商务要求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服务内容及服务邀请应答表 供应商其它资料.docx 中小企业声明函 商务应答表 报价表 响应文件封面 政府采购供应商拒绝政府采购领域商业贿赂承诺书.docx 分项报价表.docx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（一）评审内容：①项目需求理解；②重点难点分析；③项目目标；④工作技术路线及方法； （二）评审标准： （1）每项评审内容完整无缺陷得5分；未提供得0分； （2）每项评审内容每存在一处缺陷扣1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（一）评审内容：①质量保障体系；②质量管控要求；③质量保障措施； （二）评审标准： （1）每项评审内容完整无缺陷得4分；未提供得0分；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（一）评审内容：①进度安排计划；②进度保障措施；③应急措施； （二）评审标准： （1）每项评审内容完整无缺陷得4分；未提供得0分；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1.项目组成人员（除项目负责人）分工明确、责任明确，结构合理，每增加一名人员得1分，最高得5分。 2.项目组成人员中（除项目负责人），每有1名相关专业中级及以上职称或注册城乡规划师得1.5分，本项最高得6分。注：提供人员证明材料复印件，加盖单位鲜章，否则不得分。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（一）评审内容：①安全保证措施；②风险防范措施；（二）评审标准：（1）每项评审内容完整无缺陷得4分；未提供得0分；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（一）评审内容：①后续服务内容；②后续服务方案；③响应时间。 （二）评审标准： （1）每项评审内容完整无缺陷得4分；未提供得0分；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供应商近年（2023年3月1日至今）具有类似项目业绩，每提供1个业绩得1分，本项最高得5分。（业绩证明文件包括合同等证明资料，提供复印件加盖单位公章，时间以合同签订时间或相关证明资料生效时间为准。）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满足竞争性磋商文件要求且磋商价格最低的最终磋商报价为磋商基准价，得满分20分； (3) 磋商报价得分=(磋商基准价／最终磋商报价)×20%×100。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详见附件：供应商其它资料.docx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