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版本号：ZCSP-临渭区-2026-0006220260327001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渭南市临渭区崇凝镇集镇基础设施配套提升项目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ZCSP-临渭区-2026-00062</w:t>
      </w:r>
      <w:r>
        <w:br/>
      </w:r>
      <w:r>
        <w:br/>
      </w:r>
      <w:r>
        <w:br/>
      </w:r>
    </w:p>
    <w:p>
      <w:pPr>
        <w:pStyle w:val="null3"/>
        <w:jc w:val="center"/>
        <w:outlineLvl w:val="2"/>
      </w:pPr>
      <w:r>
        <w:rPr>
          <w:rFonts w:ascii="仿宋_GB2312" w:hAnsi="仿宋_GB2312" w:cs="仿宋_GB2312" w:eastAsia="仿宋_GB2312"/>
          <w:sz w:val="28"/>
          <w:b/>
        </w:rPr>
        <w:t>陕西省渭南市临渭区崇凝镇人民政府</w:t>
      </w:r>
    </w:p>
    <w:p>
      <w:pPr>
        <w:pStyle w:val="null3"/>
        <w:jc w:val="center"/>
        <w:outlineLvl w:val="2"/>
      </w:pPr>
      <w:r>
        <w:rPr>
          <w:rFonts w:ascii="仿宋_GB2312" w:hAnsi="仿宋_GB2312" w:cs="仿宋_GB2312" w:eastAsia="仿宋_GB2312"/>
          <w:sz w:val="28"/>
          <w:b/>
        </w:rPr>
        <w:t>陕西嘉信至诚项目管理有限公司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陕西嘉信至诚项目管理有限公司</w:t>
      </w:r>
      <w:r>
        <w:rPr>
          <w:rFonts w:ascii="仿宋_GB2312" w:hAnsi="仿宋_GB2312" w:cs="仿宋_GB2312" w:eastAsia="仿宋_GB2312"/>
        </w:rPr>
        <w:t>（以下简称“代理机构”）受</w:t>
      </w:r>
      <w:r>
        <w:rPr>
          <w:rFonts w:ascii="仿宋_GB2312" w:hAnsi="仿宋_GB2312" w:cs="仿宋_GB2312" w:eastAsia="仿宋_GB2312"/>
        </w:rPr>
        <w:t>陕西省渭南市临渭区崇凝镇人民政府</w:t>
      </w:r>
      <w:r>
        <w:rPr>
          <w:rFonts w:ascii="仿宋_GB2312" w:hAnsi="仿宋_GB2312" w:cs="仿宋_GB2312" w:eastAsia="仿宋_GB2312"/>
        </w:rPr>
        <w:t>委托，拟对</w:t>
      </w:r>
      <w:r>
        <w:rPr>
          <w:rFonts w:ascii="仿宋_GB2312" w:hAnsi="仿宋_GB2312" w:cs="仿宋_GB2312" w:eastAsia="仿宋_GB2312"/>
        </w:rPr>
        <w:t>渭南市临渭区崇凝镇集镇基础设施配套提升项目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ZCSP-临渭区-2026-00062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渭南市临渭区崇凝镇集镇基础设施配套提升项目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为满足群众出行，保障辖区交通安全，现对集镇道路路基进行整修并铺设沥青路面。</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采购包1（渭南市临渭区崇凝镇集镇基础设施配套提升项目）：属于专门面向中小企业采购。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书/法定代表人授权书：法定代表人参与磋商时需提供法定代表人身份证明书（附法定代表人身份证复印件）；被授权人参与磋商时需提供法定代表人身份证明书与法定代表人授权委托书（附法定代表人及被授权人身份证复印件）。</w:t>
      </w:r>
    </w:p>
    <w:p>
      <w:pPr>
        <w:pStyle w:val="null3"/>
      </w:pPr>
      <w:r>
        <w:rPr>
          <w:rFonts w:ascii="仿宋_GB2312" w:hAnsi="仿宋_GB2312" w:cs="仿宋_GB2312" w:eastAsia="仿宋_GB2312"/>
        </w:rPr>
        <w:t>2、企业资质：供应商须具备市政公用施工总承包三级（含三级）及以上资质，并具有有效的安全生产许可证。</w:t>
      </w:r>
    </w:p>
    <w:p>
      <w:pPr>
        <w:pStyle w:val="null3"/>
      </w:pPr>
      <w:r>
        <w:rPr>
          <w:rFonts w:ascii="仿宋_GB2312" w:hAnsi="仿宋_GB2312" w:cs="仿宋_GB2312" w:eastAsia="仿宋_GB2312"/>
        </w:rPr>
        <w:t>3、项目经理：拟派项目经理须具有市政公用工程二级及以上注册建造师资格并具有有效的安全生产考核合格证，且无在建工程。</w:t>
      </w:r>
    </w:p>
    <w:p>
      <w:pPr>
        <w:pStyle w:val="null3"/>
      </w:pPr>
      <w:r>
        <w:rPr>
          <w:rFonts w:ascii="仿宋_GB2312" w:hAnsi="仿宋_GB2312" w:cs="仿宋_GB2312" w:eastAsia="仿宋_GB2312"/>
        </w:rPr>
        <w:t>4、磋商保证金：磋商保证金交纳凭证。</w:t>
      </w:r>
    </w:p>
    <w:p>
      <w:pPr>
        <w:pStyle w:val="null3"/>
      </w:pPr>
      <w:r>
        <w:rPr>
          <w:rFonts w:ascii="仿宋_GB2312" w:hAnsi="仿宋_GB2312" w:cs="仿宋_GB2312" w:eastAsia="仿宋_GB2312"/>
        </w:rPr>
        <w:t>5、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陕西省渭南市临渭区崇凝镇人民政府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渭南市临渭区渭桥路与崇凝路交叉口南400米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陕西省渭南市临渭区崇凝镇人民政府经办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0913-3351236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陕西嘉信至诚项目管理有限公司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陕西省渭南市临渭区乐天大街福乐新村东1号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李绒</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0913-2130688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吕洁</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采购包1保证金金额：19,000.00元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开户名称：陕西嘉信至诚项目管理有限公司</w:t>
            </w:r>
          </w:p>
          <w:p>
            <w:pPr>
              <w:pStyle w:val="null3"/>
            </w:pPr>
            <w:r>
              <w:rPr>
                <w:rFonts w:ascii="仿宋_GB2312" w:hAnsi="仿宋_GB2312" w:cs="仿宋_GB2312" w:eastAsia="仿宋_GB2312"/>
              </w:rPr>
              <w:t>开户银行：中国银行渭南分行营业部</w:t>
            </w:r>
          </w:p>
          <w:p>
            <w:pPr>
              <w:pStyle w:val="null3"/>
            </w:pPr>
            <w:r>
              <w:rPr>
                <w:rFonts w:ascii="仿宋_GB2312" w:hAnsi="仿宋_GB2312" w:cs="仿宋_GB2312" w:eastAsia="仿宋_GB2312"/>
              </w:rPr>
              <w:t>银行账号：103714785487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534号文件的计费标准，以中标（成交）价为基数计算，按照标准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陕西省渭南市临渭区崇凝镇人民政府</w:t>
      </w:r>
      <w:r>
        <w:rPr>
          <w:rFonts w:ascii="仿宋_GB2312" w:hAnsi="仿宋_GB2312" w:cs="仿宋_GB2312" w:eastAsia="仿宋_GB2312"/>
        </w:rPr>
        <w:t>和</w:t>
      </w:r>
      <w:r>
        <w:rPr>
          <w:rFonts w:ascii="仿宋_GB2312" w:hAnsi="仿宋_GB2312" w:cs="仿宋_GB2312" w:eastAsia="仿宋_GB2312"/>
        </w:rPr>
        <w:t>陕西嘉信至诚项目管理有限公司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陕西省渭南市临渭区崇凝镇人民政府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陕西嘉信至诚项目管理有限公司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陕西省渭南市临渭区崇凝镇人民政府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陕西嘉信至诚项目管理有限公司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1、本工程应按工程量清单及磋商文件全部内容完成。 2、本工程验收标准应符合国家相关工程管理规定及行业标准。 3、依据磋商文件及成交人响应文件及签证单等文件内容进行验收。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陕西嘉信至诚项目管理有限公司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陕西嘉信至诚项目管理有限公司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陕西嘉信至诚项目管理有限公司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联系人：李绒</w:t>
      </w:r>
    </w:p>
    <w:p>
      <w:pPr>
        <w:pStyle w:val="null3"/>
      </w:pPr>
      <w:r>
        <w:rPr>
          <w:rFonts w:ascii="仿宋_GB2312" w:hAnsi="仿宋_GB2312" w:cs="仿宋_GB2312" w:eastAsia="仿宋_GB2312"/>
        </w:rPr>
        <w:t>联系电话：0913-2130688</w:t>
      </w:r>
    </w:p>
    <w:p>
      <w:pPr>
        <w:pStyle w:val="null3"/>
      </w:pPr>
      <w:r>
        <w:rPr>
          <w:rFonts w:ascii="仿宋_GB2312" w:hAnsi="仿宋_GB2312" w:cs="仿宋_GB2312" w:eastAsia="仿宋_GB2312"/>
        </w:rPr>
        <w:t>地址：陕西省渭南市临渭区乐天大街福乐新村东1号</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1,350,000.00</w:t>
      </w:r>
    </w:p>
    <w:p>
      <w:pPr>
        <w:pStyle w:val="null3"/>
      </w:pPr>
      <w:r>
        <w:rPr>
          <w:rFonts w:ascii="仿宋_GB2312" w:hAnsi="仿宋_GB2312" w:cs="仿宋_GB2312" w:eastAsia="仿宋_GB2312"/>
        </w:rPr>
        <w:t>采购包最高限价（元）: 1,345,546.33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渭南市临渭区崇凝镇集镇基础设施配套提升</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1,350,000.00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标的名称：渭南市临渭区崇凝镇集镇基础设施配套提升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为满足群众出行，保障辖区交通安全，现对集镇道路路基进行整修并铺设沥青路面。</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成交人在施工过程中必须使用国家或地方颁布的有关规范、标准、规定。 《建筑与市政工程无障碍通用规范》（GB55019-2021） 《工程建设标准强制性条文》（2013年版） 《城镇给水排水技术规范》（GB 50788-2012） 《民用建筑设计节水标准》（GB 50555-2010） 《建筑节能与可再生能源利用通用规范》（GB 55015-2021）； 《建筑给水排水与节水通用规范》（GB 55020-2021） 《安全防范工程通用规范》（GB 55029-2022） 《给水排水管道工程施工及验收规范》（GB 50268-2008） 其他相关的国家现行有关设计规范、规程和地方法规、标准。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90日历天；2、工程地点：临渭区崇凝镇；3、质量标准：合格，达到国家现行技术标准；4、质保期：自竣工验收合格之日起一年；5、在施工范围内按施工内容和要求制定详细的施工组织设计方案，方案科学、合理、可靠；6、人员配备合理。有针对本项目的项目团队，项目经理、配备人员分工明确（应有具体成员名单，包括姓名、工作职责等）；7、有各类突发事件的应急预案和措施，有明确的具体承诺；8、供应商必须按法律、法规及有关政策规定为其工作人员购买相关保险；9、供应商的工作人员数量必须满足采购人的实际工作要求，且穿着统一标识的工作服；10、本项目担任项目经理的建造师、项目技术负责人、施工员、专职安全员、质量员、材料员等施工现场关键岗位人员，必须与响应文件中载明的人员保持一致。本项目建设工期内实行实名考勤制度，所有关键岗位人员须严格按项目要求驻场履职。若违反上述要求，将依据住建部及陕西省住建厅《关于对全省建筑施工现场关键岗位人员实施实名制管理的通知》（陕建发〔2014〕194号）等相关规定，采购人将上报住建主管部门处理，直至解除施工合同，并依法追究相关单位及人员的责任；11、付款方式：本工程依据工程进度按比例将进度应付款支付给供应商。首次付款比例不低于40%，工程完工后，进度款拨付至供应商合同总金额的90%；本工程竣工验收后需要进行结算审计，最终的结算审定金额为本工程的最终合同价款；结算审核完成后，支付剩余工程价款。</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根据《政府采购法实施条例》释义，银行、保险、石油石化、电力、电信等有行业特殊情况的，允许法人的分支机构参加政府采购活动；2、中标（成交）供应商在中标（成交）结果公告发布后3个工作日内提供叁套纸质响应文件（经编标工具生成的文件直接打印并胶装成册），递交的纸质版文件内容确保与线上电子文件保持一致，不允许修改和补充； 3、成交供应商应在磋商会议结束后3日内向采购人提交最终版《工程量清单表》，供应商最终版《工程量清单表》中的总报价应与最终磋商总报价保持一致。 4、中小企业划型标准：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合法有效，具有独立承担民事责任的能力的证明材料。</w:t>
            </w:r>
          </w:p>
        </w:tc>
        <w:tc>
          <w:tcPr>
            <w:tcW w:type="dxa" w:w="1661"/>
          </w:tcPr>
          <w:p>
            <w:pPr>
              <w:pStyle w:val="null3"/>
            </w:pPr>
            <w:r>
              <w:rPr>
                <w:rFonts w:ascii="仿宋_GB2312" w:hAnsi="仿宋_GB2312" w:cs="仿宋_GB2312" w:eastAsia="仿宋_GB2312"/>
              </w:rPr>
              <w:t>资格审查.docx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w:t>
            </w:r>
          </w:p>
        </w:tc>
        <w:tc>
          <w:tcPr>
            <w:tcW w:type="dxa" w:w="3322"/>
          </w:tcPr>
          <w:p>
            <w:pPr>
              <w:pStyle w:val="null3"/>
            </w:pPr>
            <w:r>
              <w:rPr>
                <w:rFonts w:ascii="仿宋_GB2312" w:hAnsi="仿宋_GB2312" w:cs="仿宋_GB2312" w:eastAsia="仿宋_GB2312"/>
              </w:rPr>
              <w:t>（1）财务状况报告：提供具有财务审计资质单位出具的2024或2025年度财务审计报告（成立时间至开标时间不足一年的可提供成立后任意时段的资产负债表）或响应文件递交截止时间前六个月内其基本账户银行出具的资信证明（附基本账户证明）或政府采购信用担保机构出具的投标担保函； （2）税收缴纳证明：提供响应文件递交截止时间前一年内任意一个月的缴费凭据（依法免税的供应商应提供相关文件证明）； （3）社会保障资金缴纳证明：提供响应文件递交截止时间前一年内任意一个月的社保缴费凭据或社保机构开具的社会保险参保缴费情况证明（依法不需要缴纳社会保障资金的供应商应提供相关证明）； 注：按照陕西省财政厅关于进一步优化政府采购营商环境有关事项的通知（陕财办采〔2023〕4号）中对供应商参与政府采购活动建立“承诺+信用管理”的准入管理制度要求，以上三项内容若采用承诺制，供应商可根据本磋商文件格式要求出具承诺函，供应商提供证明材料的，无需响应此承诺书，若二者同时提供，在评审过程中，以证明材料为准。</w:t>
            </w:r>
          </w:p>
        </w:tc>
        <w:tc>
          <w:tcPr>
            <w:tcW w:type="dxa" w:w="1661"/>
          </w:tcPr>
          <w:p>
            <w:pPr>
              <w:pStyle w:val="null3"/>
            </w:pPr>
            <w:r>
              <w:rPr>
                <w:rFonts w:ascii="仿宋_GB2312" w:hAnsi="仿宋_GB2312" w:cs="仿宋_GB2312" w:eastAsia="仿宋_GB2312"/>
              </w:rPr>
              <w:t>资格审查.docx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具有履行合同的说明或承诺</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提供参加政府采购活动前三年内在经营活动中没有重大违法记录的承诺。</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参与的供应商（联合体）工程的施工单位全部为符合政策要求的中小企业。本项目所属行业：建筑业。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法定代表人身份证明书/法定代表人授权书</w:t>
            </w:r>
          </w:p>
        </w:tc>
        <w:tc>
          <w:tcPr>
            <w:tcW w:type="dxa" w:w="3322"/>
          </w:tcPr>
          <w:p>
            <w:pPr>
              <w:pStyle w:val="null3"/>
            </w:pPr>
            <w:r>
              <w:rPr>
                <w:rFonts w:ascii="仿宋_GB2312" w:hAnsi="仿宋_GB2312" w:cs="仿宋_GB2312" w:eastAsia="仿宋_GB2312"/>
              </w:rPr>
              <w:t>法定代表人参与磋商时需提供法定代表人身份证明书（附法定代表人身份证复印件）；被授权人参与磋商时需提供法定代表人身份证明书与法定代表人授权委托书（附法定代表人及被授权人身份证复印件）。</w:t>
            </w:r>
          </w:p>
        </w:tc>
        <w:tc>
          <w:tcPr>
            <w:tcW w:type="dxa" w:w="1661"/>
          </w:tcPr>
          <w:p>
            <w:pPr>
              <w:pStyle w:val="null3"/>
            </w:pPr>
            <w:r>
              <w:rPr>
                <w:rFonts w:ascii="仿宋_GB2312" w:hAnsi="仿宋_GB2312" w:cs="仿宋_GB2312" w:eastAsia="仿宋_GB2312"/>
              </w:rPr>
              <w:t>资格审查.docx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供应商须具备市政公用施工总承包三级（含三级）及以上资质，并具有有效的安全生产许可证。</w:t>
            </w:r>
          </w:p>
        </w:tc>
        <w:tc>
          <w:tcPr>
            <w:tcW w:type="dxa" w:w="1661"/>
          </w:tcPr>
          <w:p>
            <w:pPr>
              <w:pStyle w:val="null3"/>
            </w:pPr>
            <w:r>
              <w:rPr>
                <w:rFonts w:ascii="仿宋_GB2312" w:hAnsi="仿宋_GB2312" w:cs="仿宋_GB2312" w:eastAsia="仿宋_GB2312"/>
              </w:rPr>
              <w:t>资格审查.docx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拟派项目经理须具有市政公用工程二级及以上注册建造师资格并具有有效的安全生产考核合格证，且无在建工程。</w:t>
            </w:r>
          </w:p>
        </w:tc>
        <w:tc>
          <w:tcPr>
            <w:tcW w:type="dxa" w:w="1661"/>
          </w:tcPr>
          <w:p>
            <w:pPr>
              <w:pStyle w:val="null3"/>
            </w:pPr>
            <w:r>
              <w:rPr>
                <w:rFonts w:ascii="仿宋_GB2312" w:hAnsi="仿宋_GB2312" w:cs="仿宋_GB2312" w:eastAsia="仿宋_GB2312"/>
              </w:rPr>
              <w:t>资格审查.docx 项目管理机构组成表 标的清单 主要人员简历表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磋商保证金交纳凭证。</w:t>
            </w:r>
          </w:p>
        </w:tc>
        <w:tc>
          <w:tcPr>
            <w:tcW w:type="dxa" w:w="1661"/>
          </w:tcPr>
          <w:p>
            <w:pPr>
              <w:pStyle w:val="null3"/>
            </w:pPr>
            <w:r>
              <w:rPr>
                <w:rFonts w:ascii="仿宋_GB2312" w:hAnsi="仿宋_GB2312" w:cs="仿宋_GB2312" w:eastAsia="仿宋_GB2312"/>
              </w:rPr>
              <w:t>资格审查.docx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资格审查.docx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供应商名称应与营业执照、资质证书、安全生产许可证及获取磋商文件时相一致。</w:t>
            </w:r>
          </w:p>
        </w:tc>
        <w:tc>
          <w:tcPr>
            <w:tcW w:type="dxa" w:w="1661"/>
          </w:tcPr>
          <w:p>
            <w:pPr>
              <w:pStyle w:val="null3"/>
            </w:pPr>
            <w:r>
              <w:rPr>
                <w:rFonts w:ascii="仿宋_GB2312" w:hAnsi="仿宋_GB2312" w:cs="仿宋_GB2312" w:eastAsia="仿宋_GB2312"/>
              </w:rPr>
              <w:t>资格审查.docx 技术方案.docx 已标价工程量清单 技术服务合同条款及其他商务要求应答表.docx 中小企业声明函 强制优先采购产品承诺函 政府采购供应商拒绝政府采购领域商业贿赂承诺书.docx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磋商响应文件按竞争性磋商文件要求进行签章。</w:t>
            </w:r>
          </w:p>
        </w:tc>
        <w:tc>
          <w:tcPr>
            <w:tcW w:type="dxa" w:w="1661"/>
          </w:tcPr>
          <w:p>
            <w:pPr>
              <w:pStyle w:val="null3"/>
            </w:pPr>
            <w:r>
              <w:rPr>
                <w:rFonts w:ascii="仿宋_GB2312" w:hAnsi="仿宋_GB2312" w:cs="仿宋_GB2312" w:eastAsia="仿宋_GB2312"/>
              </w:rPr>
              <w:t>资格审查.docx 技术方案.docx 已标价工程量清单 技术服务合同条款及其他商务要求应答表.docx 中小企业声明函 强制优先采购产品承诺函 响应文件封面 政府采购供应商拒绝政府采购领域商业贿赂承诺书.docx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工期满足磋商文件规定。</w:t>
            </w:r>
          </w:p>
        </w:tc>
        <w:tc>
          <w:tcPr>
            <w:tcW w:type="dxa" w:w="1661"/>
          </w:tcPr>
          <w:p>
            <w:pPr>
              <w:pStyle w:val="null3"/>
            </w:pPr>
            <w:r>
              <w:rPr>
                <w:rFonts w:ascii="仿宋_GB2312" w:hAnsi="仿宋_GB2312" w:cs="仿宋_GB2312" w:eastAsia="仿宋_GB2312"/>
              </w:rPr>
              <w:t>技术服务合同条款及其他商务要求应答表.docx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满足竞争性磋商文件规定。</w:t>
            </w:r>
          </w:p>
        </w:tc>
        <w:tc>
          <w:tcPr>
            <w:tcW w:type="dxa" w:w="1661"/>
          </w:tcPr>
          <w:p>
            <w:pPr>
              <w:pStyle w:val="null3"/>
            </w:pPr>
            <w:r>
              <w:rPr>
                <w:rFonts w:ascii="仿宋_GB2312" w:hAnsi="仿宋_GB2312" w:cs="仿宋_GB2312" w:eastAsia="仿宋_GB2312"/>
              </w:rPr>
              <w:t>资格审查.docx 技术方案.docx 已标价工程量清单 技术服务合同条款及其他商务要求应答表.docx 中小企业声明函 强制优先采购产品承诺函 响应文件封面 政府采购供应商拒绝政府采购领域商业贿赂承诺书.docx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无其他无效磋商处理的情况。</w:t>
            </w:r>
          </w:p>
        </w:tc>
        <w:tc>
          <w:tcPr>
            <w:tcW w:type="dxa" w:w="1661"/>
          </w:tcPr>
          <w:p>
            <w:pPr>
              <w:pStyle w:val="null3"/>
            </w:pPr>
            <w:r>
              <w:rPr>
                <w:rFonts w:ascii="仿宋_GB2312" w:hAnsi="仿宋_GB2312" w:cs="仿宋_GB2312" w:eastAsia="仿宋_GB2312"/>
              </w:rPr>
              <w:t>资格审查.docx 技术方案.docx 已标价工程量清单 技术服务合同条款及其他商务要求应答表.docx 中小企业声明函 强制优先采购产品承诺函 响应文件封面 政府采购供应商拒绝政府采购领域商业贿赂承诺书.docx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①施工总平面布置； ②施工阶段划分及施工顺序安排； ③资源配备计划：主要施工机械设备、劳动力等配备计划及主材进场计划。 （二）评审标准： （1）每项评审内容完整无缺陷得3分，满分9分；未提供得0分；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①施工准备； ②施工方法 ③相关技术措施； ④重点难点工程分析及解决措施。 （二）评审标准： （1）每项评审内容完整无缺陷得3分，满分12分；未提供得0分；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①施工进度计划； ②工期保障措施； ③各个进度衔接的保证措施。 （二）评审标准： （1）每项评审内容完整无缺陷得3分，满分9分；未提供得0分；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 ①质量管理体系； ②施工质量保障措施。 （二）评审标准： （1）每项评审内容完整无缺陷得3分，满分6分；未提供得0分；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 ①安全生产管理体系；②安全生产责任制度和安全教育培训制度；③各道工序安全技术措施。 （二）评审标准： （1）每项评审内容完整无缺陷得2分，满分6分；未提供得0分；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（一）评审内容：①环境卫生管理制度；②防尘降噪措施； ③文明施工及环境保护措施。 （二）评审标准： （1）每项评审内容完整无缺陷得3分，满分9分；未提供得0分；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项目管理机构配备情况</w:t>
            </w:r>
          </w:p>
        </w:tc>
        <w:tc>
          <w:tcPr>
            <w:tcW w:type="dxa" w:w="2492"/>
          </w:tcPr>
          <w:p>
            <w:pPr>
              <w:pStyle w:val="null3"/>
            </w:pPr>
            <w:r>
              <w:rPr>
                <w:rFonts w:ascii="仿宋_GB2312" w:hAnsi="仿宋_GB2312" w:cs="仿宋_GB2312" w:eastAsia="仿宋_GB2312"/>
              </w:rPr>
              <w:t>（1）人员配备：拟投入的项目管理机构人员结构合理、岗位职责明确，除项目经理外，项目管理机构每配备1人得0.5分，本项最高得5分； （2）人员职称：项目管理人员中，每具有一个工程类高级职称人员得1.5分，每具有一个工程类中级职称人员得1分,本项最高得4分。 注：须提供人员相关证件，不提供得0分。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供应商近三年（2023年3月至今）每具有1项类似业绩得1分，最多得5分，未提供得0分。（提供合同复印件加盖公章，以合同签订时间为准）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 不高于最高限价，且经磋商小组评审不低于成本价的最终磋商报价为有效磋商报价。 (2) 满足竞争性磋商文件要求且磋商价格最低的最终磋商报价为磋商基准价，得满分35分； (3) 磋商报价得分=(磋商基准价／最终磋商报价)×35%×100。 备注：当磋商小组认为某个供应商的报价明显低于其他通过符合性审查供应商的报价，有可能影响工程质量和不能诚信履约的，可以要求该供应商提供书面说明，必要时提交相关证明材料；供应商不能证明其报价合理的，磋商小组可以将其作为无效磋商处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详见附件：技术服务合同条款及其他商务要求应答表.docx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详见附件：资格审查.docx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详见附件：合同主要条款.docx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