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版本号：ZCSP-临渭区-2026-0006620260331001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2026年省级农业专项资金临渭区小麦促弱转壮项目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ZCSP-临渭区-2026-00066</w:t>
      </w:r>
      <w:r>
        <w:br/>
      </w:r>
      <w:r>
        <w:br/>
      </w:r>
      <w:r>
        <w:br/>
      </w:r>
    </w:p>
    <w:p>
      <w:pPr>
        <w:pStyle w:val="null3"/>
        <w:jc w:val="center"/>
        <w:outlineLvl w:val="2"/>
      </w:pPr>
      <w:r>
        <w:rPr>
          <w:rFonts w:ascii="仿宋_GB2312" w:hAnsi="仿宋_GB2312" w:cs="仿宋_GB2312" w:eastAsia="仿宋_GB2312"/>
          <w:sz w:val="28"/>
          <w:b/>
        </w:rPr>
        <w:t>渭南市临渭区农业技术推广中心</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渭南市临渭区农业技术推广中心</w:t>
      </w:r>
      <w:r>
        <w:rPr>
          <w:rFonts w:ascii="仿宋_GB2312" w:hAnsi="仿宋_GB2312" w:cs="仿宋_GB2312" w:eastAsia="仿宋_GB2312"/>
        </w:rPr>
        <w:t>委托，拟对</w:t>
      </w:r>
      <w:r>
        <w:rPr>
          <w:rFonts w:ascii="仿宋_GB2312" w:hAnsi="仿宋_GB2312" w:cs="仿宋_GB2312" w:eastAsia="仿宋_GB2312"/>
        </w:rPr>
        <w:t>2026年省级农业专项资金临渭区小麦促弱转壮项目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2026年省级农业专项资金临渭区小麦促弱转壮项目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为奠定小麦丰产基础，本项目主要对小麦进行促弱转壮增粒重防病虫实施药剂采购发放。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人如为生产厂家的，须提供农药登记证、农药生产许可证或农药生产批准文件、农药标准证；投标人如为经销商的，须提供农药经营许可证及生产厂家的农药登记证、农药生产许可证或农药生产批准文件、农药标准证；</w:t>
      </w:r>
    </w:p>
    <w:p>
      <w:pPr>
        <w:pStyle w:val="null3"/>
      </w:pPr>
      <w:r>
        <w:rPr>
          <w:rFonts w:ascii="仿宋_GB2312" w:hAnsi="仿宋_GB2312" w:cs="仿宋_GB2312" w:eastAsia="仿宋_GB2312"/>
        </w:rPr>
        <w:t>2、法定代表人授权书/法定代表人身份证明：法定代表人参与投标时需提供法定代表人身份证明；被授权人参与投标时需提供法定代表人身份证明及法定代表人授权委托书</w:t>
      </w:r>
    </w:p>
    <w:p>
      <w:pPr>
        <w:pStyle w:val="null3"/>
      </w:pPr>
      <w:r>
        <w:rPr>
          <w:rFonts w:ascii="仿宋_GB2312" w:hAnsi="仿宋_GB2312" w:cs="仿宋_GB2312" w:eastAsia="仿宋_GB2312"/>
        </w:rPr>
        <w:t>3、投标保证金交纳凭证：投标保证金交纳凭证</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渭南市民生北街245号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王晓平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0913-2167055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采购包1：717,300.00元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原国家计委关于《招标代理服务收费管理暂行办法》（计价格〔2002〕1980号）以及国家发改价格〔2011〕534号文件规定中代理费计算方式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渭南市临渭区农业技术推广中心</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为奠定小麦丰产基础，本项目主要对小麦进行促弱转壮增粒重防病虫实施药剂采购发放。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717,300.00</w:t>
      </w:r>
    </w:p>
    <w:p>
      <w:pPr>
        <w:pStyle w:val="null3"/>
      </w:pPr>
      <w:r>
        <w:rPr>
          <w:rFonts w:ascii="仿宋_GB2312" w:hAnsi="仿宋_GB2312" w:cs="仿宋_GB2312" w:eastAsia="仿宋_GB2312"/>
        </w:rPr>
        <w:t>采购包最高限价（元）: 717,300.00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2026年省级农业专项资金临渭区小麦促弱转壮</w:t>
            </w:r>
          </w:p>
        </w:tc>
        <w:tc>
          <w:tcPr>
            <w:tcW w:type="dxa" w:w="831"/>
          </w:tcPr>
          <w:p>
            <w:pPr>
              <w:pStyle w:val="null3"/>
              <w:jc w:val="right"/>
            </w:pPr>
            <w:r>
              <w:rPr>
                <w:rFonts w:ascii="仿宋_GB2312" w:hAnsi="仿宋_GB2312" w:cs="仿宋_GB2312" w:eastAsia="仿宋_GB2312"/>
              </w:rPr>
              <w:t>71,730.00</w:t>
            </w:r>
          </w:p>
        </w:tc>
        <w:tc>
          <w:tcPr>
            <w:tcW w:type="dxa" w:w="831"/>
          </w:tcPr>
          <w:p>
            <w:pPr>
              <w:pStyle w:val="null3"/>
              <w:jc w:val="right"/>
            </w:pPr>
            <w:r>
              <w:rPr>
                <w:rFonts w:ascii="仿宋_GB2312" w:hAnsi="仿宋_GB2312" w:cs="仿宋_GB2312" w:eastAsia="仿宋_GB2312"/>
              </w:rPr>
              <w:t>717,300.00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标的名称：2026年省级农业专项资金临渭区小麦促弱转壮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标的名称</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叶面肥</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生长</w:t>
                  </w:r>
                </w:p>
                <w:p>
                  <w:pPr>
                    <w:pStyle w:val="null3"/>
                  </w:pPr>
                  <w:r>
                    <w:rPr>
                      <w:rFonts w:ascii="仿宋_GB2312" w:hAnsi="仿宋_GB2312" w:cs="仿宋_GB2312" w:eastAsia="仿宋_GB2312"/>
                    </w:rPr>
                    <w:t>调节剂</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杀虫剂</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杀菌剂</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对小麦进行促弱转壮增粒重防病虫药剂发放服务。</w:t>
            </w:r>
          </w:p>
          <w:p>
            <w:pPr>
              <w:pStyle w:val="null3"/>
            </w:pPr>
            <w:r>
              <w:rPr>
                <w:rFonts w:ascii="仿宋_GB2312" w:hAnsi="仿宋_GB2312" w:cs="仿宋_GB2312" w:eastAsia="仿宋_GB2312"/>
              </w:rPr>
              <w:t>2.药剂服务要求</w:t>
            </w:r>
          </w:p>
          <w:p>
            <w:pPr>
              <w:pStyle w:val="null3"/>
            </w:pPr>
            <w:r>
              <w:rPr>
                <w:rFonts w:ascii="仿宋_GB2312" w:hAnsi="仿宋_GB2312" w:cs="仿宋_GB2312" w:eastAsia="仿宋_GB2312"/>
              </w:rPr>
              <w:t>2.1 药剂服务要求</w:t>
            </w:r>
          </w:p>
          <w:p>
            <w:pPr>
              <w:pStyle w:val="null3"/>
            </w:pPr>
            <w:r>
              <w:rPr>
                <w:rFonts w:ascii="仿宋_GB2312" w:hAnsi="仿宋_GB2312" w:cs="仿宋_GB2312" w:eastAsia="仿宋_GB2312"/>
              </w:rPr>
              <w:t>负责药剂的发放。</w:t>
            </w:r>
          </w:p>
          <w:p>
            <w:pPr>
              <w:pStyle w:val="null3"/>
            </w:pPr>
            <w:r>
              <w:rPr>
                <w:rFonts w:ascii="仿宋_GB2312" w:hAnsi="仿宋_GB2312" w:cs="仿宋_GB2312" w:eastAsia="仿宋_GB2312"/>
              </w:rPr>
              <w:t>2.2 药剂使用要求</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药剂</w:t>
                  </w:r>
                </w:p>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技术指标、参数</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叶面肥</w:t>
                  </w:r>
                </w:p>
              </w:tc>
              <w:tc>
                <w:tcPr>
                  <w:tcW w:type="dxa" w:w="638"/>
                </w:tcPr>
                <w:p>
                  <w:pPr>
                    <w:pStyle w:val="null3"/>
                  </w:pPr>
                  <w:r>
                    <w:rPr>
                      <w:rFonts w:ascii="仿宋_GB2312" w:hAnsi="仿宋_GB2312" w:cs="仿宋_GB2312" w:eastAsia="仿宋_GB2312"/>
                    </w:rPr>
                    <w:t>按农业农村部登记药剂的推荐剂量，不小于7.173万亩。</w:t>
                  </w:r>
                </w:p>
              </w:tc>
              <w:tc>
                <w:tcPr>
                  <w:tcW w:type="dxa" w:w="638"/>
                </w:tcPr>
                <w:p>
                  <w:pPr>
                    <w:pStyle w:val="null3"/>
                  </w:pPr>
                  <w:r>
                    <w:rPr>
                      <w:rFonts w:ascii="仿宋_GB2312" w:hAnsi="仿宋_GB2312" w:cs="仿宋_GB2312" w:eastAsia="仿宋_GB2312"/>
                    </w:rPr>
                    <w:t>磷酸二氢钾、亚磷酸钾或含黄腐酸水溶肥、含氨基酸水溶肥等。</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生长</w:t>
                  </w:r>
                </w:p>
                <w:p>
                  <w:pPr>
                    <w:pStyle w:val="null3"/>
                  </w:pPr>
                  <w:r>
                    <w:rPr>
                      <w:rFonts w:ascii="仿宋_GB2312" w:hAnsi="仿宋_GB2312" w:cs="仿宋_GB2312" w:eastAsia="仿宋_GB2312"/>
                    </w:rPr>
                    <w:t>调节剂</w:t>
                  </w:r>
                </w:p>
              </w:tc>
              <w:tc>
                <w:tcPr>
                  <w:tcW w:type="dxa" w:w="638"/>
                </w:tcPr>
                <w:p>
                  <w:pPr>
                    <w:pStyle w:val="null3"/>
                  </w:pPr>
                  <w:r>
                    <w:rPr>
                      <w:rFonts w:ascii="仿宋_GB2312" w:hAnsi="仿宋_GB2312" w:cs="仿宋_GB2312" w:eastAsia="仿宋_GB2312"/>
                    </w:rPr>
                    <w:t>按农业农村部登记药剂的推荐剂量，不小于7.173万亩。</w:t>
                  </w:r>
                </w:p>
              </w:tc>
              <w:tc>
                <w:tcPr>
                  <w:tcW w:type="dxa" w:w="638"/>
                </w:tcPr>
                <w:p>
                  <w:pPr>
                    <w:pStyle w:val="null3"/>
                  </w:pPr>
                  <w:r>
                    <w:rPr>
                      <w:rFonts w:ascii="仿宋_GB2312" w:hAnsi="仿宋_GB2312" w:cs="仿宋_GB2312" w:eastAsia="仿宋_GB2312"/>
                    </w:rPr>
                    <w:t>芸苔素内酯或氨基寡糖素等。</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杀虫剂</w:t>
                  </w:r>
                </w:p>
              </w:tc>
              <w:tc>
                <w:tcPr>
                  <w:tcW w:type="dxa" w:w="638"/>
                </w:tcPr>
                <w:p>
                  <w:pPr>
                    <w:pStyle w:val="null3"/>
                  </w:pPr>
                  <w:r>
                    <w:rPr>
                      <w:rFonts w:ascii="仿宋_GB2312" w:hAnsi="仿宋_GB2312" w:cs="仿宋_GB2312" w:eastAsia="仿宋_GB2312"/>
                    </w:rPr>
                    <w:t>按农业农村部登记药剂的推荐剂量上限，不小于7.173万亩。</w:t>
                  </w:r>
                </w:p>
              </w:tc>
              <w:tc>
                <w:tcPr>
                  <w:tcW w:type="dxa" w:w="638"/>
                </w:tcPr>
                <w:p>
                  <w:pPr>
                    <w:pStyle w:val="null3"/>
                  </w:pPr>
                  <w:r>
                    <w:rPr>
                      <w:rFonts w:ascii="仿宋_GB2312" w:hAnsi="仿宋_GB2312" w:cs="仿宋_GB2312" w:eastAsia="仿宋_GB2312"/>
                    </w:rPr>
                    <w:t>高效氯氟氰菊酯、氟啶虫酰胺、呋虫胺、噻虫嗪、噻虫胺等防治小麦蚜虫的复配制剂。</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杀菌剂</w:t>
                  </w:r>
                </w:p>
              </w:tc>
              <w:tc>
                <w:tcPr>
                  <w:tcW w:type="dxa" w:w="638"/>
                </w:tcPr>
                <w:p>
                  <w:pPr>
                    <w:pStyle w:val="null3"/>
                  </w:pPr>
                  <w:r>
                    <w:rPr>
                      <w:rFonts w:ascii="仿宋_GB2312" w:hAnsi="仿宋_GB2312" w:cs="仿宋_GB2312" w:eastAsia="仿宋_GB2312"/>
                    </w:rPr>
                    <w:t>按农业农村部登记药剂的推荐剂量上限，不小于7.173万亩。</w:t>
                  </w:r>
                </w:p>
              </w:tc>
              <w:tc>
                <w:tcPr>
                  <w:tcW w:type="dxa" w:w="638"/>
                </w:tcPr>
                <w:p>
                  <w:pPr>
                    <w:pStyle w:val="null3"/>
                  </w:pPr>
                  <w:r>
                    <w:rPr>
                      <w:rFonts w:ascii="仿宋_GB2312" w:hAnsi="仿宋_GB2312" w:cs="仿宋_GB2312" w:eastAsia="仿宋_GB2312"/>
                    </w:rPr>
                    <w:t>氰烯菌酯、丙硫菌唑、吡唑嘧菌酯、肟菌酯、戊唑醇等防治赤霉病的复配剂。</w:t>
                  </w:r>
                </w:p>
              </w:tc>
            </w:tr>
          </w:tbl>
          <w:p>
            <w:pPr>
              <w:pStyle w:val="null3"/>
            </w:pPr>
            <w:r>
              <w:rPr>
                <w:rFonts w:ascii="仿宋_GB2312" w:hAnsi="仿宋_GB2312" w:cs="仿宋_GB2312" w:eastAsia="仿宋_GB2312"/>
              </w:rPr>
              <w:t>2.3服务面积</w:t>
            </w:r>
          </w:p>
          <w:p>
            <w:pPr>
              <w:pStyle w:val="null3"/>
            </w:pPr>
            <w:r>
              <w:rPr>
                <w:rFonts w:ascii="仿宋_GB2312" w:hAnsi="仿宋_GB2312" w:cs="仿宋_GB2312" w:eastAsia="仿宋_GB2312"/>
              </w:rPr>
              <w:t>在渭北八镇围绕规模种植主体示范田、区域粮食种植核心区域及示范村，发放药剂面积不小于7.173万亩。（实际发放面积以最终发放亩数为准）。</w:t>
            </w:r>
          </w:p>
          <w:p>
            <w:pPr>
              <w:pStyle w:val="null3"/>
            </w:pPr>
            <w:r>
              <w:rPr>
                <w:rFonts w:ascii="仿宋_GB2312" w:hAnsi="仿宋_GB2312" w:cs="仿宋_GB2312" w:eastAsia="仿宋_GB2312"/>
              </w:rPr>
              <w:t>注：最终结算面积=总价除以单价（实际供货亩数如存在小数点后位数则向上进位取整数精确至个位数整数面积）。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所供产品验收合格后无质量问题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1、所供产品的规格、数量符合招标文件、供应商承诺及采购合同约定的要求。 2、所有产品均已运输至指定地点。 3.本项目由采购人及相关部门定期对项目进行阶段性验收。 4.验收标准：按采购文件、投标文件及澄清函、项目检查情况等综合指标进行验收。各项指标均应符合验收标准及要求。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所有货物以验收之日为质保起始日期，质保期6个月，质保期内免费换货。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版文件要求：中标（成交）供应商在中标（成交）结果公告发布后3个工作日内提供叁套纸质投标文件（经编标工具生成的文件直接打印并加盖公章），递交的纸质版文件内容确保与线上电子文件保持一致，不允许修改和补充；（2）根据《政府采购法实施条例》释义，银行、保险、石油石化、电力、电信等有行业特殊情况的，允许法人的分支机构参加政府采购活动；（3）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4）本项目不允许进口产品投标，根据陕西省财政厅《关于在政府采购活动中实施本国产品标准及相关政策的通知》（陕财办采〔2026〕2 号））的规定，投标人提供的本国产品应符合《国务院办公厅关于在政府采购中实施本国产品标准及相关政策的通知》（国办发〔2025〕34号）、《财政部、工信部发布关于贯彻落实《国务院办公厅关于在政府采购中实施本国产品标准及相关政策的通知》的意见》（财库〔2025〕30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供应商需提供合法有效，具有独立承担民事责任的能力且具备向采购人提供相关服务的证明资料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投标文件截止时间前六个月内其基本账户银行出具的资信证明（附基本账户证明）或政府采购信用担保机构出具的投标担保函； 税收缴纳证明：提供投标文件递交截止时间前一年内任意一个月的缴费凭据；依法免税的应提供相关文件证明； 社会保障资金缴纳证明：提供投标文件递交截止时间前一年内任意一个月的社保缴费凭据或社保机构开具的社会保险参保缴费情况证明；依法不需要缴纳社会保障资金的供应商应提供相关文件证明；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函，中标供应商的承诺书同中标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如为生产厂家的，须提供农药登记证、农药生产许可证或农药生产批准文件、农药标准证；投标人如为经销商的，须提供农药经营许可证及生产厂家的农药登记证、农药生产许可证或农药生产批准文件、农药标准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法定代表人参与投标时需提供法定代表人身份证明；被授权人参与投标时需提供法定代表人身份证明及法定代表人授权委托书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开标一览表 中小企业声明函 商务应答表 项目实施方案.docx 资格证明文件.docx 政府采购供应商拒绝政府采购领域商业贿赂承诺书.docx 产品技术参数表 投标函 残疾人福利性单位声明函 标的清单 分项报价表(1).docx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项目实施方案.docx 资格证明文件.docx 政府采购供应商拒绝政府采购领域商业贿赂承诺书.docx 产品技术参数表 投标函 残疾人福利性单位声明函 标的清单 投标文件封面 分项报价表(1).docx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项目实施方案.docx 资格证明文件.docx 政府采购供应商拒绝政府采购领域商业贿赂承诺书.docx 产品技术参数表 投标函 残疾人福利性单位声明函 标的清单 投标文件封面 分项报价表(1).docx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分项报价表(1).docx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依据各投标供应商主要技术指标、参数、性能等情况综合评分，并能提供生产厂家出具的、响应的功能证明材料（包括但不限于检测报告、官网和功能截图、彩页、说明书等相关资料，并在技术偏离表 “说明”栏中标明页码，未提供视为负偏离），其他产品提供产品彩页，官网参数截图等相关资料。每负偏离一项扣1分，扣完为止。无有效证明材料或响应数据与证明材料不符的视为负偏离。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一、评审内容：①项目进度安排；②货物运输措施；③货物调控组织措施；④应急处理措施； 评审标准： 每一条评审内容不存在缺陷得4分；每有一条评审内容出现一处缺陷扣0.8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一、评审内容：①所投产品提供合法来源渠道证明材料；②产品质量保障措施；③产品的设计、工艺、加工、检验能力； 二、评审标准： 每一条评审内容不存在缺陷得4分；每有一条评审内容出现一处缺陷扣0.8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一、评审内容：①培训时间；②培训内容及培训方式； 二、评审标准： 每一条评审内容不存在缺陷得3分；每有一条评审内容出现一处缺陷扣0.6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①售后服务方案完整可行，有明确的售后服务标准、售后服务承诺②；质保期内产品发生质量问题所产生的换货修补服务具体响应时限、补救措施；③售后服务机构组成，人员从业经历，服务人员培训计划情况；④售后服务响应（电话支持、到场服务）；二、评审标准： 每一条评审内容不存在缺陷得3分；每有一条评审内容出现一处缺陷扣0.6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近三年（2023年3月至今）的类似项目业绩，每提供一个有效业绩得1分，最高得5分。注：每个有效业绩须包含以下内容：中标（成交）通知书或合同复印件（提供复印件并加盖公章）。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拟投入的本项目人员结构合理、岗位职责明确，每有一名人员得0.5分，本项最高4分。（提供相关证明材料）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满足招标文件要求且投标价格最低的投标报价为评标基准价，其价格分为满分。其他投标单位的价格分统一按照下列公式计算：投标报价得分=(评标基准价／投标报价)×30%×100。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