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版本号：ZCSP-临渭区-2026-0006520260402002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2026年中央财政转移支付资金临渭区小麦促弱转壮项目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ZCSP-临渭区-2026-00065</w:t>
      </w:r>
      <w:r>
        <w:br/>
      </w:r>
      <w:r>
        <w:br/>
      </w:r>
      <w:r>
        <w:br/>
      </w:r>
    </w:p>
    <w:p>
      <w:pPr>
        <w:pStyle w:val="null3"/>
        <w:jc w:val="center"/>
        <w:outlineLvl w:val="2"/>
      </w:pPr>
      <w:r>
        <w:rPr>
          <w:rFonts w:ascii="仿宋_GB2312" w:hAnsi="仿宋_GB2312" w:cs="仿宋_GB2312" w:eastAsia="仿宋_GB2312"/>
          <w:sz w:val="28"/>
          <w:b/>
        </w:rPr>
        <w:t>渭南市临渭区农业技术推广中心</w:t>
      </w:r>
    </w:p>
    <w:p>
      <w:pPr>
        <w:pStyle w:val="null3"/>
        <w:jc w:val="center"/>
        <w:outlineLvl w:val="2"/>
      </w:pPr>
      <w:r>
        <w:rPr>
          <w:rFonts w:ascii="仿宋_GB2312" w:hAnsi="仿宋_GB2312" w:cs="仿宋_GB2312" w:eastAsia="仿宋_GB2312"/>
          <w:sz w:val="28"/>
          <w:b/>
        </w:rPr>
        <w:t>新瑞建设有限公司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新瑞建设有限公司</w:t>
      </w:r>
      <w:r>
        <w:rPr>
          <w:rFonts w:ascii="仿宋_GB2312" w:hAnsi="仿宋_GB2312" w:cs="仿宋_GB2312" w:eastAsia="仿宋_GB2312"/>
        </w:rPr>
        <w:t>（以下简称“代理机构”）受</w:t>
      </w:r>
      <w:r>
        <w:rPr>
          <w:rFonts w:ascii="仿宋_GB2312" w:hAnsi="仿宋_GB2312" w:cs="仿宋_GB2312" w:eastAsia="仿宋_GB2312"/>
        </w:rPr>
        <w:t>渭南市临渭区农业技术推广中心</w:t>
      </w:r>
      <w:r>
        <w:rPr>
          <w:rFonts w:ascii="仿宋_GB2312" w:hAnsi="仿宋_GB2312" w:cs="仿宋_GB2312" w:eastAsia="仿宋_GB2312"/>
        </w:rPr>
        <w:t>委托，拟对</w:t>
      </w:r>
      <w:r>
        <w:rPr>
          <w:rFonts w:ascii="仿宋_GB2312" w:hAnsi="仿宋_GB2312" w:cs="仿宋_GB2312" w:eastAsia="仿宋_GB2312"/>
        </w:rPr>
        <w:t>2026年中央财政转移支付资金临渭区小麦促弱转壮项目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ZCSP-临渭区-2026-00065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2026年中央财政转移支付资金临渭区小麦促弱转壮项目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为奠定小麦丰产基础，本项目主要对小麦促弱转壮增强抗逆性、促粒重、防病虫进行喷施药剂服务。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采购包1（2026年中央财政转移支付资金临渭区小麦促弱转壮项目）：属于专门面向小微企业采购。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1、法定代表人授权书/法定代表人身份证明：法定代表人参与投标时需提供法定代表人身份证明；被授权人参与投标时需提供法定代表人身份证明及法定代表人授权委托书；</w:t>
      </w:r>
    </w:p>
    <w:p>
      <w:pPr>
        <w:pStyle w:val="null3"/>
      </w:pPr>
      <w:r>
        <w:rPr>
          <w:rFonts w:ascii="仿宋_GB2312" w:hAnsi="仿宋_GB2312" w:cs="仿宋_GB2312" w:eastAsia="仿宋_GB2312"/>
        </w:rPr>
        <w:t>2、投标保证金交纳凭证：投标保证金交纳凭证；</w:t>
      </w:r>
    </w:p>
    <w:p>
      <w:pPr>
        <w:pStyle w:val="null3"/>
      </w:pPr>
      <w:r>
        <w:rPr>
          <w:rFonts w:ascii="仿宋_GB2312" w:hAnsi="仿宋_GB2312" w:cs="仿宋_GB2312" w:eastAsia="仿宋_GB2312"/>
        </w:rPr>
        <w:t>3、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渭南市临渭区农业技术推广中心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渭南市民生北街245号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王晓平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0913-2167055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新瑞建设有限公司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陕西省渭南市临渭区解放路北段渭河大街东段南侧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薛蒙蒙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0913-2136088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开户名称：新瑞建设有限公司</w:t>
            </w:r>
          </w:p>
          <w:p>
            <w:pPr>
              <w:pStyle w:val="null3"/>
            </w:pPr>
            <w:r>
              <w:rPr>
                <w:rFonts w:ascii="仿宋_GB2312" w:hAnsi="仿宋_GB2312" w:cs="仿宋_GB2312" w:eastAsia="仿宋_GB2312"/>
              </w:rPr>
              <w:t>开户银行：中国工商银行渭南乐天花园支行（行号：102797050086）</w:t>
            </w:r>
          </w:p>
          <w:p>
            <w:pPr>
              <w:pStyle w:val="null3"/>
            </w:pPr>
            <w:r>
              <w:rPr>
                <w:rFonts w:ascii="仿宋_GB2312" w:hAnsi="仿宋_GB2312" w:cs="仿宋_GB2312" w:eastAsia="仿宋_GB2312"/>
              </w:rPr>
              <w:t>银行账号：2605041319200030511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渭南市临渭区农业技术推广中心</w:t>
      </w:r>
      <w:r>
        <w:rPr>
          <w:rFonts w:ascii="仿宋_GB2312" w:hAnsi="仿宋_GB2312" w:cs="仿宋_GB2312" w:eastAsia="仿宋_GB2312"/>
        </w:rPr>
        <w:t>和</w:t>
      </w:r>
      <w:r>
        <w:rPr>
          <w:rFonts w:ascii="仿宋_GB2312" w:hAnsi="仿宋_GB2312" w:cs="仿宋_GB2312" w:eastAsia="仿宋_GB2312"/>
        </w:rPr>
        <w:t>新瑞建设有限公司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渭南市临渭区农业技术推广中心</w:t>
      </w:r>
      <w:r>
        <w:rPr>
          <w:rFonts w:ascii="仿宋_GB2312" w:hAnsi="仿宋_GB2312" w:cs="仿宋_GB2312" w:eastAsia="仿宋_GB2312"/>
        </w:rPr>
        <w:t>负责解释。除上述招标文件内容，其他内容由</w:t>
      </w:r>
      <w:r>
        <w:rPr>
          <w:rFonts w:ascii="仿宋_GB2312" w:hAnsi="仿宋_GB2312" w:cs="仿宋_GB2312" w:eastAsia="仿宋_GB2312"/>
        </w:rPr>
        <w:t>新瑞建设有限公司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渭南市临渭区农业技术推广中心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新瑞建设有限公司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1.质量标准：服务达到国家及行业验收合格标准。 2.存在未喷、漏喷、喷施防治效果未达到项目要求的，立即进行人工地面补喷，如因未喷、漏喷、飞防未达到要求的或造成损失的，由供应商承担相应的法律责任。 3.本项目由采购人及相关部门定期对项目进行一次性验收。 4.验收标准：按采购文件、投标文件及澄清函、项目检查情况等综合指标进行验收。各项指标均应符合验收标准及要求。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联系人：薛蒙蒙</w:t>
      </w:r>
    </w:p>
    <w:p>
      <w:pPr>
        <w:pStyle w:val="null3"/>
      </w:pPr>
      <w:r>
        <w:rPr>
          <w:rFonts w:ascii="仿宋_GB2312" w:hAnsi="仿宋_GB2312" w:cs="仿宋_GB2312" w:eastAsia="仿宋_GB2312"/>
        </w:rPr>
        <w:t>联系电话：0913-2136088</w:t>
      </w:r>
    </w:p>
    <w:p>
      <w:pPr>
        <w:pStyle w:val="null3"/>
      </w:pPr>
      <w:r>
        <w:rPr>
          <w:rFonts w:ascii="仿宋_GB2312" w:hAnsi="仿宋_GB2312" w:cs="仿宋_GB2312" w:eastAsia="仿宋_GB2312"/>
        </w:rPr>
        <w:t>地址：陕西省渭南市临渭区解放路北段渭河大街东段南侧</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为奠定小麦丰产基础，本项目主要对小麦促弱转壮增强抗逆性、促粒重、防病虫进行喷施药剂服务。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2,400,000.00</w:t>
      </w:r>
    </w:p>
    <w:p>
      <w:pPr>
        <w:pStyle w:val="null3"/>
      </w:pPr>
      <w:r>
        <w:rPr>
          <w:rFonts w:ascii="仿宋_GB2312" w:hAnsi="仿宋_GB2312" w:cs="仿宋_GB2312" w:eastAsia="仿宋_GB2312"/>
        </w:rPr>
        <w:t>采购包最高限价（元）: 2,400,000.00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2026年中央财政转移支付资金临渭区小麦促弱转壮</w:t>
            </w:r>
          </w:p>
        </w:tc>
        <w:tc>
          <w:tcPr>
            <w:tcW w:type="dxa" w:w="831"/>
          </w:tcPr>
          <w:p>
            <w:pPr>
              <w:pStyle w:val="null3"/>
              <w:jc w:val="right"/>
            </w:pPr>
            <w:r>
              <w:rPr>
                <w:rFonts w:ascii="仿宋_GB2312" w:hAnsi="仿宋_GB2312" w:cs="仿宋_GB2312" w:eastAsia="仿宋_GB2312"/>
              </w:rPr>
              <w:t>126,300.00</w:t>
            </w:r>
          </w:p>
        </w:tc>
        <w:tc>
          <w:tcPr>
            <w:tcW w:type="dxa" w:w="831"/>
          </w:tcPr>
          <w:p>
            <w:pPr>
              <w:pStyle w:val="null3"/>
              <w:jc w:val="right"/>
            </w:pPr>
            <w:r>
              <w:rPr>
                <w:rFonts w:ascii="仿宋_GB2312" w:hAnsi="仿宋_GB2312" w:cs="仿宋_GB2312" w:eastAsia="仿宋_GB2312"/>
              </w:rPr>
              <w:t>2,400,000.00</w:t>
            </w:r>
          </w:p>
        </w:tc>
        <w:tc>
          <w:tcPr>
            <w:tcW w:type="dxa" w:w="831"/>
          </w:tcPr>
          <w:p>
            <w:pPr>
              <w:pStyle w:val="null3"/>
            </w:pPr>
            <w:r>
              <w:rPr>
                <w:rFonts w:ascii="仿宋_GB2312" w:hAnsi="仿宋_GB2312" w:cs="仿宋_GB2312" w:eastAsia="仿宋_GB2312"/>
              </w:rPr>
              <w:t>亩</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标的名称：2026年中央财政转移支付资金临渭区小麦促弱转壮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643"/>
              <w:jc w:val="left"/>
            </w:pPr>
            <w:r>
              <w:rPr>
                <w:rFonts w:ascii="仿宋_GB2312" w:hAnsi="仿宋_GB2312" w:cs="仿宋_GB2312" w:eastAsia="仿宋_GB2312"/>
              </w:rPr>
              <w:t>1.服务内容</w:t>
            </w:r>
          </w:p>
          <w:p>
            <w:pPr>
              <w:pStyle w:val="null3"/>
            </w:pPr>
            <w:r>
              <w:rPr>
                <w:rFonts w:ascii="仿宋_GB2312" w:hAnsi="仿宋_GB2312" w:cs="仿宋_GB2312" w:eastAsia="仿宋_GB2312"/>
              </w:rPr>
              <w:t>严格按照统防统治作业要求，对小麦进行促弱转壮增粒重防病虫喷施药剂、做好防治服务。</w:t>
            </w:r>
          </w:p>
          <w:p>
            <w:pPr>
              <w:pStyle w:val="null3"/>
            </w:pPr>
            <w:r>
              <w:rPr>
                <w:rFonts w:ascii="仿宋_GB2312" w:hAnsi="仿宋_GB2312" w:cs="仿宋_GB2312" w:eastAsia="仿宋_GB2312"/>
              </w:rPr>
              <w:t>2.服务要求</w:t>
            </w:r>
          </w:p>
          <w:p>
            <w:pPr>
              <w:pStyle w:val="null3"/>
            </w:pPr>
            <w:r>
              <w:rPr>
                <w:rFonts w:ascii="仿宋_GB2312" w:hAnsi="仿宋_GB2312" w:cs="仿宋_GB2312" w:eastAsia="仿宋_GB2312"/>
              </w:rPr>
              <w:t>2.1 喷施服务要求</w:t>
            </w:r>
          </w:p>
          <w:p>
            <w:pPr>
              <w:pStyle w:val="null3"/>
            </w:pPr>
            <w:r>
              <w:rPr>
                <w:rFonts w:ascii="仿宋_GB2312" w:hAnsi="仿宋_GB2312" w:cs="仿宋_GB2312" w:eastAsia="仿宋_GB2312"/>
              </w:rPr>
              <w:t>（1）植保器械先进，作业能力强，制度健全，管理规范；</w:t>
            </w:r>
          </w:p>
          <w:p>
            <w:pPr>
              <w:pStyle w:val="null3"/>
            </w:pPr>
            <w:r>
              <w:rPr>
                <w:rFonts w:ascii="仿宋_GB2312" w:hAnsi="仿宋_GB2312" w:cs="仿宋_GB2312" w:eastAsia="仿宋_GB2312"/>
              </w:rPr>
              <w:t>（2）针对2026年小麦因前期晚播、土壤湿度过大、病虫害基数较高等因素造成的弱苗情况，制定有效的技术方案和工作方案科学；</w:t>
            </w:r>
          </w:p>
          <w:p>
            <w:pPr>
              <w:pStyle w:val="null3"/>
            </w:pPr>
            <w:r>
              <w:rPr>
                <w:rFonts w:ascii="仿宋_GB2312" w:hAnsi="仿宋_GB2312" w:cs="仿宋_GB2312" w:eastAsia="仿宋_GB2312"/>
              </w:rPr>
              <w:t>（3）服务内容包括采购药剂及喷施服务，选择的药剂使用要求同下表，必须增加飞防助剂，要符合国家标准，三证齐全，高效低毒、安全环保（提供农药三证）。</w:t>
            </w:r>
          </w:p>
          <w:p>
            <w:pPr>
              <w:pStyle w:val="null3"/>
            </w:pPr>
            <w:r>
              <w:rPr>
                <w:rFonts w:ascii="仿宋_GB2312" w:hAnsi="仿宋_GB2312" w:cs="仿宋_GB2312" w:eastAsia="仿宋_GB2312"/>
              </w:rPr>
              <w:t>（4）要在小麦抽穗至灌浆期完成促粒数、增粒重，防病虫，防早衰的喷施任务，项目区喷防面积达到应实施面积的100%（面积不小于12.63万亩），总体增产5%，灾害损失率控制在4%以内。</w:t>
            </w:r>
          </w:p>
          <w:p>
            <w:pPr>
              <w:pStyle w:val="null3"/>
            </w:pPr>
            <w:r>
              <w:rPr>
                <w:rFonts w:ascii="仿宋_GB2312" w:hAnsi="仿宋_GB2312" w:cs="仿宋_GB2312" w:eastAsia="仿宋_GB2312"/>
              </w:rPr>
              <w:t>（5）农药助剂选用飞防助剂，防治作业器械选用植保无人机和自走式喷杆喷雾机。</w:t>
            </w:r>
          </w:p>
          <w:p>
            <w:pPr>
              <w:pStyle w:val="null3"/>
            </w:pPr>
            <w:r>
              <w:rPr>
                <w:rFonts w:ascii="仿宋_GB2312" w:hAnsi="仿宋_GB2312" w:cs="仿宋_GB2312" w:eastAsia="仿宋_GB2312"/>
              </w:rPr>
              <w:t>2.2 药剂使用要求</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药剂</w:t>
                  </w:r>
                </w:p>
                <w:p>
                  <w:pPr>
                    <w:pStyle w:val="null3"/>
                  </w:pPr>
                  <w:r>
                    <w:rPr>
                      <w:rFonts w:ascii="仿宋_GB2312" w:hAnsi="仿宋_GB2312" w:cs="仿宋_GB2312" w:eastAsia="仿宋_GB2312"/>
                    </w:rPr>
                    <w:t>名称</w:t>
                  </w:r>
                </w:p>
              </w:tc>
              <w:tc>
                <w:tcPr>
                  <w:tcW w:type="dxa" w:w="638"/>
                </w:tcPr>
                <w:p>
                  <w:pPr>
                    <w:pStyle w:val="null3"/>
                  </w:pPr>
                  <w:r>
                    <w:rPr>
                      <w:rFonts w:ascii="仿宋_GB2312" w:hAnsi="仿宋_GB2312" w:cs="仿宋_GB2312" w:eastAsia="仿宋_GB2312"/>
                    </w:rPr>
                    <w:t>数量</w:t>
                  </w:r>
                </w:p>
              </w:tc>
              <w:tc>
                <w:tcPr>
                  <w:tcW w:type="dxa" w:w="638"/>
                </w:tcPr>
                <w:p>
                  <w:pPr>
                    <w:pStyle w:val="null3"/>
                  </w:pPr>
                  <w:r>
                    <w:rPr>
                      <w:rFonts w:ascii="仿宋_GB2312" w:hAnsi="仿宋_GB2312" w:cs="仿宋_GB2312" w:eastAsia="仿宋_GB2312"/>
                    </w:rPr>
                    <w:t>技术指标、参数</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叶面肥</w:t>
                  </w:r>
                </w:p>
              </w:tc>
              <w:tc>
                <w:tcPr>
                  <w:tcW w:type="dxa" w:w="638"/>
                </w:tcPr>
                <w:p>
                  <w:pPr>
                    <w:pStyle w:val="null3"/>
                  </w:pPr>
                  <w:r>
                    <w:rPr>
                      <w:rFonts w:ascii="仿宋_GB2312" w:hAnsi="仿宋_GB2312" w:cs="仿宋_GB2312" w:eastAsia="仿宋_GB2312"/>
                    </w:rPr>
                    <w:t>按农业农村部登记药剂的推荐剂量，计不小于12.63万亩。</w:t>
                  </w:r>
                </w:p>
              </w:tc>
              <w:tc>
                <w:tcPr>
                  <w:tcW w:type="dxa" w:w="638"/>
                </w:tcPr>
                <w:p>
                  <w:pPr>
                    <w:pStyle w:val="null3"/>
                  </w:pPr>
                  <w:r>
                    <w:rPr>
                      <w:rFonts w:ascii="仿宋_GB2312" w:hAnsi="仿宋_GB2312" w:cs="仿宋_GB2312" w:eastAsia="仿宋_GB2312"/>
                    </w:rPr>
                    <w:t>磷酸二氢钾、亚磷酸钾或含黄腐酸水溶肥、含氨基酸水溶肥等。</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生长调节剂</w:t>
                  </w:r>
                </w:p>
              </w:tc>
              <w:tc>
                <w:tcPr>
                  <w:tcW w:type="dxa" w:w="638"/>
                </w:tcPr>
                <w:p>
                  <w:pPr>
                    <w:pStyle w:val="null3"/>
                  </w:pPr>
                  <w:r>
                    <w:rPr>
                      <w:rFonts w:ascii="仿宋_GB2312" w:hAnsi="仿宋_GB2312" w:cs="仿宋_GB2312" w:eastAsia="仿宋_GB2312"/>
                    </w:rPr>
                    <w:t>按农业农村部登记药剂的推荐剂量，计不小于12.63万亩。</w:t>
                  </w:r>
                </w:p>
              </w:tc>
              <w:tc>
                <w:tcPr>
                  <w:tcW w:type="dxa" w:w="638"/>
                </w:tcPr>
                <w:p>
                  <w:pPr>
                    <w:pStyle w:val="null3"/>
                  </w:pPr>
                  <w:r>
                    <w:rPr>
                      <w:rFonts w:ascii="仿宋_GB2312" w:hAnsi="仿宋_GB2312" w:cs="仿宋_GB2312" w:eastAsia="仿宋_GB2312"/>
                    </w:rPr>
                    <w:t>芸苔素内酯或氨基寡糖素等。</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杀虫剂</w:t>
                  </w:r>
                </w:p>
              </w:tc>
              <w:tc>
                <w:tcPr>
                  <w:tcW w:type="dxa" w:w="638"/>
                </w:tcPr>
                <w:p>
                  <w:pPr>
                    <w:pStyle w:val="null3"/>
                  </w:pPr>
                  <w:r>
                    <w:rPr>
                      <w:rFonts w:ascii="仿宋_GB2312" w:hAnsi="仿宋_GB2312" w:cs="仿宋_GB2312" w:eastAsia="仿宋_GB2312"/>
                    </w:rPr>
                    <w:t>按农业农村部登记药剂的推荐剂量上限，计不小于12.63万亩。</w:t>
                  </w:r>
                </w:p>
              </w:tc>
              <w:tc>
                <w:tcPr>
                  <w:tcW w:type="dxa" w:w="638"/>
                </w:tcPr>
                <w:p>
                  <w:pPr>
                    <w:pStyle w:val="null3"/>
                  </w:pPr>
                  <w:r>
                    <w:rPr>
                      <w:rFonts w:ascii="仿宋_GB2312" w:hAnsi="仿宋_GB2312" w:cs="仿宋_GB2312" w:eastAsia="仿宋_GB2312"/>
                    </w:rPr>
                    <w:t>高效氯氟氰菊酯、氟啶虫酰胺、呋虫胺、噻虫嗪、噻虫胺等防治小麦蚜虫的复配制剂。</w:t>
                  </w:r>
                </w:p>
              </w:tc>
            </w:tr>
            <w:tr>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杀菌剂</w:t>
                  </w:r>
                </w:p>
              </w:tc>
              <w:tc>
                <w:tcPr>
                  <w:tcW w:type="dxa" w:w="638"/>
                </w:tcPr>
                <w:p>
                  <w:pPr>
                    <w:pStyle w:val="null3"/>
                  </w:pPr>
                  <w:r>
                    <w:rPr>
                      <w:rFonts w:ascii="仿宋_GB2312" w:hAnsi="仿宋_GB2312" w:cs="仿宋_GB2312" w:eastAsia="仿宋_GB2312"/>
                    </w:rPr>
                    <w:t>按农业农村部登记药剂的推荐剂量上限，计不小于12.63万亩。</w:t>
                  </w:r>
                </w:p>
              </w:tc>
              <w:tc>
                <w:tcPr>
                  <w:tcW w:type="dxa" w:w="638"/>
                </w:tcPr>
                <w:p>
                  <w:pPr>
                    <w:pStyle w:val="null3"/>
                  </w:pPr>
                  <w:r>
                    <w:rPr>
                      <w:rFonts w:ascii="仿宋_GB2312" w:hAnsi="仿宋_GB2312" w:cs="仿宋_GB2312" w:eastAsia="仿宋_GB2312"/>
                    </w:rPr>
                    <w:t>氰烯菌酯、丙硫菌唑、吡唑嘧菌酯、肟菌酯、戊唑醇等防治赤霉病的复配剂。</w:t>
                  </w:r>
                </w:p>
              </w:tc>
            </w:tr>
            <w:tr>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农药助剂</w:t>
                  </w:r>
                </w:p>
              </w:tc>
              <w:tc>
                <w:tcPr>
                  <w:tcW w:type="dxa" w:w="638"/>
                </w:tcPr>
                <w:p>
                  <w:pPr>
                    <w:pStyle w:val="null3"/>
                  </w:pPr>
                  <w:r>
                    <w:rPr>
                      <w:rFonts w:ascii="仿宋_GB2312" w:hAnsi="仿宋_GB2312" w:cs="仿宋_GB2312" w:eastAsia="仿宋_GB2312"/>
                    </w:rPr>
                    <w:t>按农业农村部登记药剂的推荐剂量上限，计不小于12.63万亩。</w:t>
                  </w:r>
                </w:p>
              </w:tc>
              <w:tc>
                <w:tcPr>
                  <w:tcW w:type="dxa" w:w="638"/>
                </w:tcPr>
                <w:p>
                  <w:pPr>
                    <w:pStyle w:val="null3"/>
                  </w:pPr>
                  <w:r>
                    <w:rPr>
                      <w:rFonts w:ascii="仿宋_GB2312" w:hAnsi="仿宋_GB2312" w:cs="仿宋_GB2312" w:eastAsia="仿宋_GB2312"/>
                    </w:rPr>
                    <w:t>有机硅类或植物油类、复合类等。</w:t>
                  </w:r>
                </w:p>
              </w:tc>
            </w:tr>
          </w:tbl>
          <w:p>
            <w:pPr>
              <w:pStyle w:val="null3"/>
            </w:pPr>
            <w:r>
              <w:rPr>
                <w:rFonts w:ascii="仿宋_GB2312" w:hAnsi="仿宋_GB2312" w:cs="仿宋_GB2312" w:eastAsia="仿宋_GB2312"/>
              </w:rPr>
              <w:t>2.3服务面积</w:t>
            </w:r>
          </w:p>
          <w:p>
            <w:pPr>
              <w:pStyle w:val="null3"/>
            </w:pPr>
            <w:r>
              <w:rPr>
                <w:rFonts w:ascii="仿宋_GB2312" w:hAnsi="仿宋_GB2312" w:cs="仿宋_GB2312" w:eastAsia="仿宋_GB2312"/>
              </w:rPr>
              <w:t>以渭北八镇粮食种植核心区域和塬区大户为重点，实施喷施防治面积不小于12.63万亩 。（实际喷施面积以最终喷施亩数为准）。</w:t>
            </w:r>
          </w:p>
          <w:p>
            <w:pPr>
              <w:pStyle w:val="null3"/>
            </w:pPr>
            <w:r>
              <w:rPr>
                <w:rFonts w:ascii="仿宋_GB2312" w:hAnsi="仿宋_GB2312" w:cs="仿宋_GB2312" w:eastAsia="仿宋_GB2312"/>
              </w:rPr>
              <w:t>注：最终结算面积=采购预算/所报单价（服务数量（亩数）若存在小数部分，则向上进位，保留整数部分）。</w:t>
            </w:r>
          </w:p>
          <w:p>
            <w:pPr>
              <w:pStyle w:val="null3"/>
            </w:pPr>
            <w:r>
              <w:rPr>
                <w:rFonts w:ascii="仿宋_GB2312" w:hAnsi="仿宋_GB2312" w:cs="仿宋_GB2312" w:eastAsia="仿宋_GB2312"/>
              </w:rPr>
              <w:t>2.4 最高限价</w:t>
            </w:r>
          </w:p>
          <w:p>
            <w:pPr>
              <w:pStyle w:val="null3"/>
            </w:pPr>
            <w:r>
              <w:rPr>
                <w:rFonts w:ascii="仿宋_GB2312" w:hAnsi="仿宋_GB2312" w:cs="仿宋_GB2312" w:eastAsia="仿宋_GB2312"/>
              </w:rPr>
              <w:t>总价限价：240万元 ； 单价限价：19.00元/亩</w:t>
            </w:r>
          </w:p>
          <w:p>
            <w:pPr>
              <w:pStyle w:val="null3"/>
            </w:pPr>
            <w:r>
              <w:rPr>
                <w:rFonts w:ascii="仿宋_GB2312" w:hAnsi="仿宋_GB2312" w:cs="仿宋_GB2312" w:eastAsia="仿宋_GB2312"/>
              </w:rPr>
              <w:t>说明：投标总报价及单价均不能超过最高限价，否则按无效投标报价处理。</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后，供应商派驻一名负责人对作业过程中作业进度、服务质量、作业人员管理进行总协调，确保技术措施的落实，按时参加采购人组织的相关会议和活动，服从采购人的工作制度和工作规范。2.人员配备合理。有针对本项目的专项服务小组，项目负责人、工作人员分工明确（应有具体成员名单，包括姓名、工作职责等）。</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后，供应商向采购人提供项目作业计划和安全责任协议等，其内容包括管理机构的设置、各主要岗位的技术人员和管理人员名单、资质、联系方式及各工种技术工人的安排、项目实施进度安排、技术措施等状况； 2.严格按照项目要求进行作业，作业前按项目要求筹备各项防治器械、材料、工具等，按技术规定进行作业。作业过程中每天汇报作业进度和安全情况。 3.协助采购人及时组织召开检查验收、防治效果评价和防治竣工验收工作会议。 4.成交供应商向采购人提交施工作业过程性资料和防效报告，按相关要求执行。 5.有各类突发事件的应急预案和措施，有明确具体的承诺。 6.供应商在服务过程中必须达到下述标准、规范（不限于）：《农作物病虫害防治条例》（中华人民共和国国务院令第725号 ）。</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15日历天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渭南市临渭区（采购人指定地点）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1.质量标准：服务达到国家及行业验收合格标准。 2.存在未喷、漏喷、喷施防治效果未达到项目要求的，立即进行人工地面补喷，如因未喷、漏喷、飞防未达到要求的或造成损失的，由供应商承担相应的法律责任。 3.本项目由采购人及相关部门定期对项目进行一次性验收。 4.验收标准：按采购文件、投标文件及澄清函、项目检查情况等综合指标进行验收。各项指标均应符合验收标准及要求。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服务结束后经采购人邀请相关部门验收合格后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未按合同要求提供的服务质量不能满足合同要求，采购人应当将供应商违约的情况以及拟采取的措施以书面形式报政府采购监管部门，根据政府采购监管部门的处理意见，采购人有权依据《中华人民共和国民法典》有关条款及合同约定终止合同，并要求供应商承担违约责任。同时，政府采购监管部门有权依据《中华人民共和国政府采购法》及相关法律法规对供应商的违法行为进行相应的处罚。 （二）其他未尽事宜，按《中华人民共和国民法典》中的相关条款执行。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纸质版文件要求：中标（成交）供应商在中标（成交）结果公告发布后3个工作日内提供叁套纸质投标文件（经编标工具生成的文件直接打印并加盖公章），递交的纸质版文件内容确保与线上电子文件保持一致，不允许修改和补充；（2）根据《政府采购法实施条例》释义，银行、保险、石油石化、电力、电信等有行业特殊情况的，允许法人的分支机构参加政府采购活动；（3）本项目专门面向小微企业采购，本项目所属行业：农、林、牧、渔业，根据关于印发中小企业划型标准规定的通知 （工信部联企业〔2011〕300号）中小企业划型标准规定：（一）农、林、牧、渔业。营业收入20000万元以下的为中小微型企业。其中，营业收入500万元及以上的为中型企业，营业收入50万元及以上的为小型企业，营业收入50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供应商需提供合法有效，具有独立承担民事责任的能力且具备向采购人提供相关服务的证明资料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具有良好的商业信誉和健全的财务会计制度以及有依法缴纳税收和社会保障资金的良好记录（提供相关证明或承诺）；</w:t>
            </w:r>
          </w:p>
        </w:tc>
        <w:tc>
          <w:tcPr>
            <w:tcW w:type="dxa" w:w="3322"/>
          </w:tcPr>
          <w:p>
            <w:pPr>
              <w:pStyle w:val="null3"/>
            </w:pPr>
            <w:r>
              <w:rPr>
                <w:rFonts w:ascii="仿宋_GB2312" w:hAnsi="仿宋_GB2312" w:cs="仿宋_GB2312" w:eastAsia="仿宋_GB2312"/>
              </w:rPr>
              <w:t>财务状况报告：提供具有财务审计资质单位出具的2024年度或2025年度财务审计报告（成立时间至开标时间不足一年的可提供成立后任意时段的资产负债表）或投标文件截止时间前六个月内其基本账户银行出具的资信证明（附基本账户证明）或政府采购信用担保机构出具的投标担保函； 税收缴纳证明：提供投标文件递交截止时间前一年内任意一个月的缴费凭据；依法免税的应提供相关文件证明； 社会保障资金缴纳证明：提供投标文件递交截止时间前一年内任意一个月的社保缴费凭据或社保机构开具的社会保险参保缴费情况证明；依法不需要缴纳社会保障资金的供应商应提供相关文件证明； 注：按照陕西省财政厅关于进一步优化政府采购营商环境有关事项的通知（陕财办采〔2023〕4号）中对供应商参与政府采购活动建立“承诺+信用管理”的准入管理制度要求，以上三项内容可根据本招标文件格式要求出具承诺书，中标供应商的承诺书同中标结果一并公示。</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法定代表人参与投标时需提供法定代表人身份证明；被授权人参与投标时需提供法定代表人身份证明及法定代表人授权委托书；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投标保证金交纳凭证</w:t>
            </w:r>
          </w:p>
        </w:tc>
        <w:tc>
          <w:tcPr>
            <w:tcW w:type="dxa" w:w="3322"/>
          </w:tcPr>
          <w:p>
            <w:pPr>
              <w:pStyle w:val="null3"/>
            </w:pPr>
            <w:r>
              <w:rPr>
                <w:rFonts w:ascii="仿宋_GB2312" w:hAnsi="仿宋_GB2312" w:cs="仿宋_GB2312" w:eastAsia="仿宋_GB2312"/>
              </w:rPr>
              <w:t>投标保证金交纳凭证；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本项目专门面向小微企业采购，参与的供应商服务全部由符合政策要求的小微企业承接。本项目所属行业：农、林、牧、渔业。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应满足招标文件中要求的服务期限</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服务内容及服务邀请应答表 供应商其它资料.docx 中小企业声明函 商务应答表 资格证明文件.docx 政府采购供应商拒绝政府采购领域商业贿赂承诺书.docx 分项报价表.docx 投标函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满足招标文件实质性服务技术及商务要求</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无其他作无效投标处理的情况</w:t>
            </w:r>
          </w:p>
        </w:tc>
        <w:tc>
          <w:tcPr>
            <w:tcW w:type="dxa" w:w="1661"/>
          </w:tcPr>
          <w:p>
            <w:pPr>
              <w:pStyle w:val="null3"/>
            </w:pPr>
            <w:r>
              <w:rPr>
                <w:rFonts w:ascii="仿宋_GB2312" w:hAnsi="仿宋_GB2312" w:cs="仿宋_GB2312" w:eastAsia="仿宋_GB2312"/>
              </w:rPr>
              <w:t>开标一览表 服务内容及服务邀请应答表 供应商其它资料.docx 中小企业声明函 商务应答表 资格证明文件.docx 政府采购供应商拒绝政府采购领域商业贿赂承诺书.docx 分项报价表.docx 投标函 残疾人福利性单位声明函 服务方案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总体方案包含：①项目需求理解；②重点难点分析；③整体管理措施。（二）评审标准：每项评审内容不存在缺陷得4分；每项评审内容每存在一处缺陷扣0.8分，扣完为止；未提供得0分。(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实施方案包含：①作业面的划分；②作业器械选择方案；③作业方案；（二）评审标准：每项评审内容不存在缺陷得4分；每项评审内容每存在一处缺陷扣0.8分，扣完为止；未提供得0分。(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w:t>
            </w:r>
          </w:p>
        </w:tc>
        <w:tc>
          <w:tcPr>
            <w:tcW w:type="dxa" w:w="2492"/>
          </w:tcPr>
          <w:p>
            <w:pPr>
              <w:pStyle w:val="null3"/>
            </w:pPr>
            <w:r>
              <w:rPr>
                <w:rFonts w:ascii="仿宋_GB2312" w:hAnsi="仿宋_GB2312" w:cs="仿宋_GB2312" w:eastAsia="仿宋_GB2312"/>
              </w:rPr>
              <w:t>（一）评审内容：进度保证包含：①作业进度安排；②关键节点及环节把握；③进度保障措施；（二）评审标准： 每项评审内容不存在缺陷得3分；每项评审内容每存在一处缺陷扣0.6分，未提供得0分。(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质量保证包含：①质量保障体系；②药剂用量标准；③质量保障措施。（二）评审标准：每项评审内容不存在缺陷得3分；每项评审内容每存在一处缺陷扣0.6分，未提供得0分。(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w:t>
            </w:r>
          </w:p>
        </w:tc>
        <w:tc>
          <w:tcPr>
            <w:tcW w:type="dxa" w:w="2492"/>
          </w:tcPr>
          <w:p>
            <w:pPr>
              <w:pStyle w:val="null3"/>
            </w:pPr>
            <w:r>
              <w:rPr>
                <w:rFonts w:ascii="仿宋_GB2312" w:hAnsi="仿宋_GB2312" w:cs="仿宋_GB2312" w:eastAsia="仿宋_GB2312"/>
              </w:rPr>
              <w:t>（一）评审内容：应急处理包含：①在作业过程中出现突发问题的应急处置方案；②应急响应时间；③出现突发状况应急人员安排。 （二）评审标准： 每项评审内容不存在缺陷得3分；每项评审内容每存在一处缺陷扣0.6分，未提供得0分。(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安全保证</w:t>
            </w:r>
          </w:p>
        </w:tc>
        <w:tc>
          <w:tcPr>
            <w:tcW w:type="dxa" w:w="2492"/>
          </w:tcPr>
          <w:p>
            <w:pPr>
              <w:pStyle w:val="null3"/>
            </w:pPr>
            <w:r>
              <w:rPr>
                <w:rFonts w:ascii="仿宋_GB2312" w:hAnsi="仿宋_GB2312" w:cs="仿宋_GB2312" w:eastAsia="仿宋_GB2312"/>
              </w:rPr>
              <w:t>（一）评审内容：安全保证包含：①在作业过程中人员安全保障措施；②作业环境安全防范；③药剂使用安全保障。（二）评审标准：每项评审内容不存在缺陷得3分；每项评审内容每存在一处缺陷扣0.6分，扣完为止；未提供得0分。(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服务承诺包含：①服务中严格按照国家及行业标准进行服务；②配合采购人进行汇报、验收、必要的外勤配合等工作；③及时响应本服务中采购人所需的远程指导及协助需求等。（二）评审标准：每项评审内容不存在缺陷得2分；每项评审内容每存在一处缺陷扣0.4分，扣完为止；未提供得0分。(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拟派项目负责人具有农业类相关专业高级证书得2分；具有农业类相关专业中级证书得1分。 提供人员专业技术能力证明材料，未提供不得分。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其他人员配备情况</w:t>
            </w:r>
          </w:p>
        </w:tc>
        <w:tc>
          <w:tcPr>
            <w:tcW w:type="dxa" w:w="2492"/>
          </w:tcPr>
          <w:p>
            <w:pPr>
              <w:pStyle w:val="null3"/>
            </w:pPr>
            <w:r>
              <w:rPr>
                <w:rFonts w:ascii="仿宋_GB2312" w:hAnsi="仿宋_GB2312" w:cs="仿宋_GB2312" w:eastAsia="仿宋_GB2312"/>
              </w:rPr>
              <w:t>1.项目组人员中（项目负责人除外）每具有一个农业方面专业技术人员得1分，本项最高得6分。 2.项目组人员中（项目负责人除外），每有1名持有无人机操作证书人员得0.5分，本项最高得3分； 注：提供人员相关证明材料，未提供不得分。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投标人具有近三年（2023年1月至今）的类似业绩（合同扫描件并加盖投标人公章，以合同签订时间为准）每个计1分，最多得3分；未提供不得分。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满足招标文件要求且最后投标报价（单价）最低的投标人的价格为基准价得20分，其他各投标人的最后报价得分按下列公式计算： 投标报价得分=（投标基准价/最后投标报价）×20%×100。备注：当评标委员会认为某个投标人的报价明显低于其他通过符合性审查投标人的报价，有可能影响服务质量和不能诚信履约的，应要求该投标人在评标现场合理的时间内提供书面说明，必要时提交相关证明材料；投标人不能证明其报价合理的，评标委员会将其作为无效投标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详见附件：供应商其它资料.docx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