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版本号：ZCSP-临渭区-2026-0004120260307001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渭南市临渭区阳郭镇集镇基础设施提升改造项目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ZCSP-临渭区-2026-00041</w:t>
      </w:r>
      <w:r>
        <w:br/>
      </w:r>
      <w:r>
        <w:br/>
      </w:r>
      <w:r>
        <w:br/>
      </w:r>
    </w:p>
    <w:p>
      <w:pPr>
        <w:pStyle w:val="null3"/>
        <w:jc w:val="center"/>
        <w:outlineLvl w:val="2"/>
      </w:pPr>
      <w:r>
        <w:rPr>
          <w:rFonts w:ascii="仿宋_GB2312" w:hAnsi="仿宋_GB2312" w:cs="仿宋_GB2312" w:eastAsia="仿宋_GB2312"/>
          <w:sz w:val="28"/>
          <w:b/>
        </w:rPr>
        <w:t>陕西省渭南市临渭区阳郭镇人民政府</w:t>
      </w:r>
    </w:p>
    <w:p>
      <w:pPr>
        <w:pStyle w:val="null3"/>
        <w:jc w:val="center"/>
        <w:outlineLvl w:val="2"/>
      </w:pPr>
      <w:r>
        <w:rPr>
          <w:rFonts w:ascii="仿宋_GB2312" w:hAnsi="仿宋_GB2312" w:cs="仿宋_GB2312" w:eastAsia="仿宋_GB2312"/>
          <w:sz w:val="28"/>
          <w:b/>
        </w:rPr>
        <w:t>陕西嘉信至诚项目管理有限公司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陕西嘉信至诚项目管理有限公司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陕西省渭南市临渭区阳郭镇人民政府</w:t>
      </w:r>
      <w:r>
        <w:rPr>
          <w:rFonts w:ascii="仿宋_GB2312" w:hAnsi="仿宋_GB2312" w:cs="仿宋_GB2312" w:eastAsia="仿宋_GB2312"/>
        </w:rPr>
        <w:t>委托，拟对</w:t>
      </w:r>
      <w:r>
        <w:rPr>
          <w:rFonts w:ascii="仿宋_GB2312" w:hAnsi="仿宋_GB2312" w:cs="仿宋_GB2312" w:eastAsia="仿宋_GB2312"/>
        </w:rPr>
        <w:t>渭南市临渭区阳郭镇集镇基础设施提升改造项目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ZCSP-临渭区-2026-00041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渭南市临渭区阳郭镇集镇基础设施提升改造项目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集镇水毁北环线道路路基进行整修并铺设沥青路面;集镇范围内主干道及关中环线两侧安装照明路灯。</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采购包1（渭南市临渭区阳郭镇集镇基础设施提升改造项目）：属于专门面向中小企业采购。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1、企业资质：供应商须具备市政公用工程施工总承包三级（含三级）及以上资质，并具有有效的安全生产许可证</w:t>
      </w:r>
    </w:p>
    <w:p>
      <w:pPr>
        <w:pStyle w:val="null3"/>
      </w:pPr>
      <w:r>
        <w:rPr>
          <w:rFonts w:ascii="仿宋_GB2312" w:hAnsi="仿宋_GB2312" w:cs="仿宋_GB2312" w:eastAsia="仿宋_GB2312"/>
        </w:rPr>
        <w:t>2、项目经理：拟派项目经理须具有市政公用工程二级（含二级）及以上注册建造师资格并具有有效的安全生产考核合格证，且无在建工程</w:t>
      </w:r>
    </w:p>
    <w:p>
      <w:pPr>
        <w:pStyle w:val="null3"/>
      </w:pPr>
      <w:r>
        <w:rPr>
          <w:rFonts w:ascii="仿宋_GB2312" w:hAnsi="仿宋_GB2312" w:cs="仿宋_GB2312" w:eastAsia="仿宋_GB2312"/>
        </w:rPr>
        <w:t>3、法定代表人身份证明书/法定代表人授权书：法定代表人参与磋商时需提供法定代表人身份证明书；被授权人参与磋商时需提供法定代表人身份证明书及法定代表人授权委托书；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4、磋商保证金：磋商保证金交纳凭证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陕西省渭南市临渭区阳郭镇人民政府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渭南市临渭区阳郭镇街道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左镇长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0913-2315021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陕西嘉信至诚项目管理有限公司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陕西省渭南市临渭区乐天大街福乐新村东1号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杨文英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采购包1保证金金额：13,500.00元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开户名称：陕西嘉信至诚项目管理有限公司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银行账号：103714785487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陕西省渭南市临渭区阳郭镇人民政府</w:t>
      </w:r>
      <w:r>
        <w:rPr>
          <w:rFonts w:ascii="仿宋_GB2312" w:hAnsi="仿宋_GB2312" w:cs="仿宋_GB2312" w:eastAsia="仿宋_GB2312"/>
        </w:rPr>
        <w:t>和</w:t>
      </w:r>
      <w:r>
        <w:rPr>
          <w:rFonts w:ascii="仿宋_GB2312" w:hAnsi="仿宋_GB2312" w:cs="仿宋_GB2312" w:eastAsia="仿宋_GB2312"/>
        </w:rPr>
        <w:t>陕西嘉信至诚项目管理有限公司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陕西省渭南市临渭区阳郭镇人民政府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陕西嘉信至诚项目管理有限公司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陕西省渭南市临渭区阳郭镇人民政府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陕西嘉信至诚项目管理有限公司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1、本工程应按工程量清单及磋商文件全部内容完成。 2、本工程验收标准应符合国家相关工程管理规定及行业标准。 3、依据磋商文件及成交人响应文件及签证单等文件内容进行验收。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联系人：杨文英</w:t>
      </w:r>
    </w:p>
    <w:p>
      <w:pPr>
        <w:pStyle w:val="null3"/>
      </w:pPr>
      <w:r>
        <w:rPr>
          <w:rFonts w:ascii="仿宋_GB2312" w:hAnsi="仿宋_GB2312" w:cs="仿宋_GB2312" w:eastAsia="仿宋_GB2312"/>
        </w:rPr>
        <w:t>联系电话：0913-2130688</w:t>
      </w:r>
    </w:p>
    <w:p>
      <w:pPr>
        <w:pStyle w:val="null3"/>
      </w:pPr>
      <w:r>
        <w:rPr>
          <w:rFonts w:ascii="仿宋_GB2312" w:hAnsi="仿宋_GB2312" w:cs="仿宋_GB2312" w:eastAsia="仿宋_GB2312"/>
        </w:rPr>
        <w:t>地址：陕西省渭南市临渭区乐天大街福乐新村东1号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渭南市临渭区阳郭镇集镇基础设施提升改造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标的名称：渭南市临渭区阳郭镇集镇基础设施提升改造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集镇水毁北环线道路路基进行整修并铺设沥青路面;集镇范围内主干道及关中环线两侧安装照明路灯。</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（1）《乡村道路工程技术规范》（GB/T 51224-2017）； （2）《小交通量农村公路工程设计规范》（JTG/T 3311—2021）； （3）《城镇道路路面设计规范》（CJJ169-2011）； （4）《城镇道路工程施工与质量验收规范》（CJJ1-2008）； （5）《城市道路工程设计规范》（CJJ37-2012）； （6）《城市道路路基设计规范》（CJJ194-2013）； （7）《城镇道路工程施工与质量验收规范》(CJJ1-2008) ； （8）《沥青路面施工及验收规范》 (GB 50092-2016)； （9）《沥青路面设计规范》（JTGD50-2017）； （10）《混凝土路面修复技术规范》 (CJJ/T 238-2016)； （11）《太阳能光伏照明系统技术要求》(GB/T 36433-2018) ； （12）《城市道路照明设计标准》(CJJ45-2015)； （13）《西安市城镇道路太阳能光伏 LED 路灯照明技术规范》DBJ61/T107-2015； （14）《美丽乡村巷道建设规范》DB61/T1070-2017； （15）《城市道路照明工程施工及验收规程》CJJ89-2012； （16）其他相关的国家现行有关设计规范、规程和地方法规、标准。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（1）工期：120日历天。 （2）工程地点：阳郭镇。 （3）质量标准：合格，达到国家现行技术标准。 （4）质保期：自竣工验收合格之日起一年。 （5）付款方式：本工程依据工程进度按比例将进度应付款支付给供应商。首次付款比例不低于40%，工程完工后，进度款拨付至供应商合同总金额的90%；本工程竣工验收后需要进行结算审核，最终的结算审定金额为本工程的最终合同价款；结算审核完成后，支付剩余工程价款。（6）工程项目建设相关要求：本项目严格执行国家相关标准、行业标准、地方标准等。 （7）本工程应按图纸、工程量清单及磋商文件完成全部内容。 （8）依据磋商文件、成交人响应文件及签证单等文件进行验收。 （9）供应商严格执行安全措施和交通组织措施，以保证施工及过往行人人身安全，杜绝安全事故的发生，因施工原因造成安全事故的责任和损失由成交人自行承担，采购人概不负责任和赔偿。 （10）供应商负责施工期间与相关部门的协调，并承担相关责任及发生的相关费用，必须确保本项目施工最终验收通过。</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 xml:space="preserve"> 1.根据《政府采购法实施条例》释义，银行、保险、石油石化、电力、电信等有行业特殊情况的，允许法人的分支机构参加政府采购活动。2.中标（成交）供应商在中标（成交）结果公告发布后3个工作日内提供叁套纸质投标文件（经编标工具生成的文件直接打印并加盖公章），递交的纸质版文件内容确保与线上电子文件保持一致，不允许修改和补充。 3.成交供应商应在磋商会议结束后3日内向采购人提交最终版《工程量清单表》，供应商最终版《工程量清单表》中的总报价应与最终磋商总报价保持一致。 4.中小企业划型标准：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合法有效，提供具有独立承担民事责任的能力的证明材料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1）财务状况报告：提供具有财务审计资质单位出具的2024年度或2025年度财务审计报告（成立时间至磋商时间不足一年的可提供成立后任意时段的资产负债表）或响应文件截止时间前六个月内其基本账户银行出具的资信证明（附基本账户证明）或政府采购信用担保机构出具的磋商担保函； （2）税收缴纳证明：提供响应文件递交截止时间前一年内任意一个月的缴费凭据；依法免税的应提供相关文件证明； （3）社会保障资金缴纳证明：提供响应文件递交截止时间前一年内任意一个月的社保缴费凭据或社保机构开具的社会保险参保缴费情况证明；依法不需要缴纳社会保障资金的供应商应提供相关文件证明；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磋商文件格式要求出具承诺函，成交供应商的承诺函同成交结果一并公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履行合同的承诺或说明</w:t>
            </w:r>
          </w:p>
        </w:tc>
        <w:tc>
          <w:tcPr>
            <w:tcW w:type="dxa" w:w="3322"/>
          </w:tcPr>
          <w:p>
            <w:pPr>
              <w:pStyle w:val="null3"/>
            </w:pPr>
            <w:r>
              <w:rPr>
                <w:rFonts w:ascii="仿宋_GB2312" w:hAnsi="仿宋_GB2312" w:cs="仿宋_GB2312" w:eastAsia="仿宋_GB2312"/>
              </w:rPr>
              <w:t>提供具有履行本合同所必需的设备和专业技术能力的说明或承诺；（承诺函格式自拟，并加盖公章）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参加政府采购活动前三年内在经营活动中无重大违法记录的书面声明；（声明函格式自拟，并加盖公章）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本项目专门面向中小企业采购，本项目所属行业为：建筑业。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供应商须具备市政公用工程施工总承包三级（含三级）及以上资质，并具有有效的安全生产许可证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拟派项目经理须具有市政公用工程二级（含二级）及以上注册建造师资格并具有有效的安全生产考核合格证，且无在建工程</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供应商名称应与营业执照、资质证书、安全生产许可证及获取磋商文件时相一致</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工期满足磋商文件规定</w:t>
            </w:r>
          </w:p>
        </w:tc>
        <w:tc>
          <w:tcPr>
            <w:tcW w:type="dxa" w:w="1661"/>
          </w:tcPr>
          <w:p>
            <w:pPr>
              <w:pStyle w:val="null3"/>
            </w:pPr>
            <w:r>
              <w:rPr>
                <w:rFonts w:ascii="仿宋_GB2312" w:hAnsi="仿宋_GB2312" w:cs="仿宋_GB2312" w:eastAsia="仿宋_GB2312"/>
              </w:rPr>
              <w:t>技术服务合同条款及其他商务要求应答表.docx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磋商报价没有超出本项目最高限价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无其他无效磋商处理的情况</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评审得分相同的，按照最后报价由低到高的顺序推荐。评审得分且最后报价相同的，按照技术指标优劣顺序推荐。评审得分且最后报价且技术指标得分均相同的，由磋商小组无记名投票推荐。</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 ②施工阶段划分及施工顺序安排； ③资源配备计划：主要施工机械设备、劳动力等配备计划及主材进场计划；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②施工方法及相关技术措施； ③重点难点工程分析及解决措施。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①施工进度计划； ②工期保障措施； ③各个进度衔接的保证措施。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①质量管理体系； ②施工质量保障措施。 （二）评审标准： （1）每项评审内容完整无缺陷得3分，满分6分；未提供得0分；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①安全生产管理体系；②安全生产责任制度和安全教育培训制度；③各道工序安全技术措施。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（一）评审内容：①环境卫生管理制度；②防尘降噪措施； ③文明施工及环境保护措施。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（1）人员配备：拟投入的项目管理机构人员结构合理、岗位职责明确，除项目经理外，项目管理机构每配备1人得0.5分，本项最高得5分； （2）人员职称：项目管理人员中，除项目经理外，每具有一个工程类高级职称人员得1.5分，每具有一个工程类中级职称人员得1分,本项最高得4分。 注：须提供人员相关证件，不提供得0分。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供应商近三年（2023年3月至今）每具有1项类似业绩得1分，最多得5分，未提供得0分。（提供合同复印件加盖公章，以合同签订时间为准）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（1）不高于最高限价，且经磋商小组评审不低于成本价的最终磋商报价为有效磋商报价。 (2) 满足竞争性磋商文件要求且磋商价格最低的最终磋商报价为磋商基准价，得满分35分； (3) 磋商报价得分=(磋商基准价／最终磋商报价)×35%×100。 备注：当磋商小组认为某个供应商的报价明显低于其他通过符合性审查供应商的报价，有可能影响工程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详见附件：技术服务合同条款及其他商务要求应答表.docx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