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版本号：政采-临渭区-2026-0004520260310001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渭南市临渭区农村乱占耕地补充摸排技术服务项目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政采-临渭区-2026-00045</w:t>
      </w:r>
      <w:r>
        <w:br/>
      </w:r>
      <w:r>
        <w:br/>
      </w:r>
      <w:r>
        <w:br/>
      </w:r>
    </w:p>
    <w:p>
      <w:pPr>
        <w:pStyle w:val="null3"/>
        <w:jc w:val="center"/>
        <w:outlineLvl w:val="2"/>
      </w:pPr>
      <w:r>
        <w:rPr>
          <w:rFonts w:ascii="仿宋_GB2312" w:hAnsi="仿宋_GB2312" w:cs="仿宋_GB2312" w:eastAsia="仿宋_GB2312"/>
          <w:sz w:val="28"/>
          <w:b/>
        </w:rPr>
        <w:t>渭南市临渭区自然资源局</w:t>
      </w:r>
    </w:p>
    <w:p>
      <w:pPr>
        <w:pStyle w:val="null3"/>
        <w:jc w:val="center"/>
        <w:outlineLvl w:val="2"/>
      </w:pPr>
      <w:r>
        <w:rPr>
          <w:rFonts w:ascii="仿宋_GB2312" w:hAnsi="仿宋_GB2312" w:cs="仿宋_GB2312" w:eastAsia="仿宋_GB2312"/>
          <w:sz w:val="28"/>
          <w:b/>
        </w:rPr>
        <w:t>陕西森茂达项目咨询有限公司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陕西森茂达项目咨询有限公司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渭南市临渭区自然资源局</w:t>
      </w:r>
      <w:r>
        <w:rPr>
          <w:rFonts w:ascii="仿宋_GB2312" w:hAnsi="仿宋_GB2312" w:cs="仿宋_GB2312" w:eastAsia="仿宋_GB2312"/>
        </w:rPr>
        <w:t>委托，拟对</w:t>
      </w:r>
      <w:r>
        <w:rPr>
          <w:rFonts w:ascii="仿宋_GB2312" w:hAnsi="仿宋_GB2312" w:cs="仿宋_GB2312" w:eastAsia="仿宋_GB2312"/>
        </w:rPr>
        <w:t>渭南市临渭区农村乱占耕地补充摸排技术服务项目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政采-临渭区-2026-00045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渭南市临渭区农村乱占耕地补充摸排技术服务项目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完成渭南市临渭区农村乱占耕地补充摸排技术服务项目，按照陕西省及市级农村乱占耕地专项整治专班要求，完成渭南市临渭区农村乱占耕地补充摸排工作，为耕地保护、违法用地整治提供精准数据支撑。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采购包1（渭南市临渭区农村乱占耕地补充摸排技术服务项目）：属于专门面向中小企业采购。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1、营业执照：具有独立承担民事责任能力的法人或其他组织提供营业执照等合法证明文件。</w:t>
      </w:r>
    </w:p>
    <w:p>
      <w:pPr>
        <w:pStyle w:val="null3"/>
      </w:pPr>
      <w:r>
        <w:rPr>
          <w:rFonts w:ascii="仿宋_GB2312" w:hAnsi="仿宋_GB2312" w:cs="仿宋_GB2312" w:eastAsia="仿宋_GB2312"/>
        </w:rPr>
        <w:t>2、供应商应授权合法的人员：供应商应授权合法的人员参加投标，其中法定代表人直接参加投标，须出具法定代表人身份证，并与营业执照上信息一致。法定代表人授权代表参加投标，须出具法定代表人授权书及授权代表身份证原件。</w:t>
      </w:r>
    </w:p>
    <w:p>
      <w:pPr>
        <w:pStyle w:val="null3"/>
      </w:pPr>
      <w:r>
        <w:rPr>
          <w:rFonts w:ascii="仿宋_GB2312" w:hAnsi="仿宋_GB2312" w:cs="仿宋_GB2312" w:eastAsia="仿宋_GB2312"/>
        </w:rPr>
        <w:t>3、财务状况：提供具有财务审计资质单位出具的2024年度财务审计报告（成立时间至投标文件递交截止时间前不足一年的可提供成立后任意时段的资产负债表）或投标文件递交截止时间前六个月内其基本账户银行出具的资信证明（附基本账户证明）或政府采购信用担保机构出具的担保函。</w:t>
      </w:r>
    </w:p>
    <w:p>
      <w:pPr>
        <w:pStyle w:val="null3"/>
      </w:pPr>
      <w:r>
        <w:rPr>
          <w:rFonts w:ascii="仿宋_GB2312" w:hAnsi="仿宋_GB2312" w:cs="仿宋_GB2312" w:eastAsia="仿宋_GB2312"/>
        </w:rPr>
        <w:t>4、税收缴纳证明：提供投标文件递交截止时间前一年内任意一个月的缴费凭据（依法免税的供应商应提供相关文件证明）</w:t>
      </w:r>
    </w:p>
    <w:p>
      <w:pPr>
        <w:pStyle w:val="null3"/>
      </w:pPr>
      <w:r>
        <w:rPr>
          <w:rFonts w:ascii="仿宋_GB2312" w:hAnsi="仿宋_GB2312" w:cs="仿宋_GB2312" w:eastAsia="仿宋_GB2312"/>
        </w:rPr>
        <w:t>5、社会保障资金缴纳证明：提供投标文件递交截止时间前一年内任意一个月的社保缴费凭据或社保机构开具的社会保险参保缴费情况证明（依法不需要缴纳社会保障资金的供应商应提供相关证明）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6、供应商及项目负责人要求：供应商须具有土地规划或城乡规划乙级及以上资质（含乙级）或测绘乙级及以上资质（含乙级），项目负责人应具备相关专业的中级职称。</w:t>
      </w:r>
    </w:p>
    <w:p>
      <w:pPr>
        <w:pStyle w:val="null3"/>
      </w:pPr>
      <w:r>
        <w:rPr>
          <w:rFonts w:ascii="仿宋_GB2312" w:hAnsi="仿宋_GB2312" w:cs="仿宋_GB2312" w:eastAsia="仿宋_GB2312"/>
        </w:rPr>
        <w:t>7、供应商具有履行本合同所必需的设备和专业技术能力：提供具有履行本合同所必需的设备和专业技术能力的说明及承诺；</w:t>
      </w:r>
    </w:p>
    <w:p>
      <w:pPr>
        <w:pStyle w:val="null3"/>
      </w:pPr>
      <w:r>
        <w:rPr>
          <w:rFonts w:ascii="仿宋_GB2312" w:hAnsi="仿宋_GB2312" w:cs="仿宋_GB2312" w:eastAsia="仿宋_GB2312"/>
        </w:rPr>
        <w:t>8、书面说明：提供参加政府采购活动前三年内在经营活动中没有重大违法记录的书面声明；</w:t>
      </w:r>
    </w:p>
    <w:p>
      <w:pPr>
        <w:pStyle w:val="null3"/>
      </w:pPr>
      <w:r>
        <w:rPr>
          <w:rFonts w:ascii="仿宋_GB2312" w:hAnsi="仿宋_GB2312" w:cs="仿宋_GB2312" w:eastAsia="仿宋_GB2312"/>
        </w:rPr>
        <w:t>9、信用信息：供应商不得为“信用中国”网站（www.creditch 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11、本项目不接受联合体投标：本项目不接受联合体投标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东风街中段11号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0913-8169161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陕西森茂达项目咨询有限公司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陕西省渭南市临渭区六泉路与玉德路十字上上国风三期九号院6号楼1单元1403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吝琪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15229835546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开户名称：陕西森茂达项目咨询有限公司</w:t>
            </w:r>
          </w:p>
          <w:p>
            <w:pPr>
              <w:pStyle w:val="null3"/>
            </w:pPr>
            <w:r>
              <w:rPr>
                <w:rFonts w:ascii="仿宋_GB2312" w:hAnsi="仿宋_GB2312" w:cs="仿宋_GB2312" w:eastAsia="仿宋_GB2312"/>
              </w:rPr>
              <w:t>开户银行：工行西安太元路支行</w:t>
            </w:r>
          </w:p>
          <w:p>
            <w:pPr>
              <w:pStyle w:val="null3"/>
            </w:pPr>
            <w:r>
              <w:rPr>
                <w:rFonts w:ascii="仿宋_GB2312" w:hAnsi="仿宋_GB2312" w:cs="仿宋_GB2312" w:eastAsia="仿宋_GB2312"/>
              </w:rPr>
              <w:t>银行账号：3700 1638 0920 0127 607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办公厅颁发的《关于招标代理服务收费有关问题的通知》(发改办价格【2003】1857号)的有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渭南市临渭区自然资源局</w:t>
      </w:r>
      <w:r>
        <w:rPr>
          <w:rFonts w:ascii="仿宋_GB2312" w:hAnsi="仿宋_GB2312" w:cs="仿宋_GB2312" w:eastAsia="仿宋_GB2312"/>
        </w:rPr>
        <w:t>和</w:t>
      </w:r>
      <w:r>
        <w:rPr>
          <w:rFonts w:ascii="仿宋_GB2312" w:hAnsi="仿宋_GB2312" w:cs="仿宋_GB2312" w:eastAsia="仿宋_GB2312"/>
        </w:rPr>
        <w:t>陕西森茂达项目咨询有限公司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陕西森茂达项目咨询有限公司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陕西森茂达项目咨询有限公司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1、本项目还需要达到以下验收要求：符合国家、省市相关法律、法规、标准、规范。 2、验收标准:按采购文件、响应文件及澄清函、项目检查情况等综合指标进行验收。各项指标均应符合验收标准及要求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陕西森茂达项目咨询有限公司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联系人：吝琪</w:t>
      </w:r>
    </w:p>
    <w:p>
      <w:pPr>
        <w:pStyle w:val="null3"/>
      </w:pPr>
      <w:r>
        <w:rPr>
          <w:rFonts w:ascii="仿宋_GB2312" w:hAnsi="仿宋_GB2312" w:cs="仿宋_GB2312" w:eastAsia="仿宋_GB2312"/>
        </w:rPr>
        <w:t>联系电话：15229835546</w:t>
      </w:r>
    </w:p>
    <w:p>
      <w:pPr>
        <w:pStyle w:val="null3"/>
      </w:pPr>
      <w:r>
        <w:rPr>
          <w:rFonts w:ascii="仿宋_GB2312" w:hAnsi="仿宋_GB2312" w:cs="仿宋_GB2312" w:eastAsia="仿宋_GB2312"/>
        </w:rPr>
        <w:t>地址：陕西省渭南市临渭区陕西省渭南市临渭区六泉路与玉德路十字上上国风三期九号院6号楼1单元1403</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本项目针对渭南市临渭区2013 年以后发生的农村乱占耕地行为开展补充摸排，不涉及 2013 年以前、不占耕地及其他非目标情形。摸排对象涵盖住宅类（宅基地）、非住宅类（产业类、公服类）及住宅与非住宅复合类用地。工作核心为组织各镇完成摸排信息表填报与图斑系统关联，按国家要求标注图斑编号并完善信息，核验系统自动关联图斑的准确性；通过叠加基本农田、二调耕地数据库核算占用面积并填报；对国家下发图斑开展历年影像对比，筛选 2013 年 1 月 1 日前建成房屋，制作 2013 年与 2020 年影像对比分析图并上报系统，最终为耕地保护、违法用地整治提供精准数据支撑。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996,500.00</w:t>
      </w:r>
    </w:p>
    <w:p>
      <w:pPr>
        <w:pStyle w:val="null3"/>
      </w:pPr>
      <w:r>
        <w:rPr>
          <w:rFonts w:ascii="仿宋_GB2312" w:hAnsi="仿宋_GB2312" w:cs="仿宋_GB2312" w:eastAsia="仿宋_GB2312"/>
        </w:rPr>
        <w:t>采购包最高限价（元）: 996,500.00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渭南市临渭区农村乱占耕地补充摸排技术服务项目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标的名称：渭南市临渭区农村乱占耕地补充摸排技术服务项目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一、基本要求</w:t>
            </w:r>
          </w:p>
          <w:p>
            <w:pPr>
              <w:pStyle w:val="null3"/>
              <w:ind w:firstLine="640"/>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功能要求：按照陕西省及市级农村乱占耕地专项整治专班要求，完成渭南市临渭区农村乱占耕地补充摸排</w:t>
            </w:r>
            <w:r>
              <w:rPr>
                <w:rFonts w:ascii="仿宋_GB2312" w:hAnsi="仿宋_GB2312" w:cs="仿宋_GB2312" w:eastAsia="仿宋_GB2312"/>
                <w:sz w:val="18"/>
                <w:color w:val="000000"/>
              </w:rPr>
              <w:t>工作，为耕地保护、违法用地整治提供精准数据支撑。并</w:t>
            </w:r>
            <w:r>
              <w:rPr>
                <w:rFonts w:ascii="仿宋_GB2312" w:hAnsi="仿宋_GB2312" w:cs="仿宋_GB2312" w:eastAsia="仿宋_GB2312"/>
                <w:sz w:val="18"/>
                <w:color w:val="000000"/>
              </w:rPr>
              <w:t>通过上级主管部门的</w:t>
            </w:r>
            <w:r>
              <w:rPr>
                <w:rFonts w:ascii="仿宋_GB2312" w:hAnsi="仿宋_GB2312" w:cs="仿宋_GB2312" w:eastAsia="仿宋_GB2312"/>
                <w:sz w:val="18"/>
                <w:color w:val="000000"/>
              </w:rPr>
              <w:t>审核。</w:t>
            </w:r>
          </w:p>
          <w:p>
            <w:pPr>
              <w:pStyle w:val="null3"/>
              <w:ind w:firstLine="640"/>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采购项目需要落实的政府采购政策：</w:t>
            </w:r>
          </w:p>
          <w:p>
            <w:pPr>
              <w:pStyle w:val="null3"/>
              <w:ind w:firstLine="640"/>
              <w:jc w:val="left"/>
            </w:pPr>
            <w:r>
              <w:rPr>
                <w:rFonts w:ascii="仿宋_GB2312" w:hAnsi="仿宋_GB2312" w:cs="仿宋_GB2312" w:eastAsia="仿宋_GB2312"/>
                <w:sz w:val="18"/>
                <w:color w:val="000000"/>
              </w:rPr>
              <w:t>①《财政部国家发展改革委关于印发〈节能产品政府采购实施意见〉的通知》（财库〔2004〕185号〕;</w:t>
            </w:r>
          </w:p>
          <w:p>
            <w:pPr>
              <w:pStyle w:val="null3"/>
              <w:ind w:firstLine="640"/>
              <w:jc w:val="left"/>
            </w:pPr>
            <w:r>
              <w:rPr>
                <w:rFonts w:ascii="仿宋_GB2312" w:hAnsi="仿宋_GB2312" w:cs="仿宋_GB2312" w:eastAsia="仿宋_GB2312"/>
                <w:sz w:val="18"/>
                <w:color w:val="000000"/>
              </w:rPr>
              <w:t>②《国务院办公厅关于建立政府强制采购节能产品制度的通知》（国办发〔2007〕51号〕;</w:t>
            </w:r>
          </w:p>
          <w:p>
            <w:pPr>
              <w:pStyle w:val="null3"/>
              <w:ind w:firstLine="640"/>
              <w:jc w:val="left"/>
            </w:pPr>
            <w:r>
              <w:rPr>
                <w:rFonts w:ascii="仿宋_GB2312" w:hAnsi="仿宋_GB2312" w:cs="仿宋_GB2312" w:eastAsia="仿宋_GB2312"/>
                <w:sz w:val="18"/>
                <w:color w:val="000000"/>
              </w:rPr>
              <w:t>③《财政部环保总局关于环境标志产品政府采购实施的意见》（财库〔2006〕90号）;</w:t>
            </w:r>
          </w:p>
          <w:p>
            <w:pPr>
              <w:pStyle w:val="null3"/>
              <w:ind w:firstLine="640"/>
              <w:jc w:val="left"/>
            </w:pPr>
            <w:r>
              <w:rPr>
                <w:rFonts w:ascii="仿宋_GB2312" w:hAnsi="仿宋_GB2312" w:cs="仿宋_GB2312" w:eastAsia="仿宋_GB2312"/>
                <w:sz w:val="18"/>
                <w:color w:val="000000"/>
              </w:rPr>
              <w:t>④《政府采购促进中小企业发展管理办法》的通知（财库〔2020〕46号）;</w:t>
            </w:r>
          </w:p>
          <w:p>
            <w:pPr>
              <w:pStyle w:val="null3"/>
              <w:ind w:firstLine="640"/>
              <w:jc w:val="left"/>
            </w:pPr>
            <w:r>
              <w:rPr>
                <w:rFonts w:ascii="仿宋_GB2312" w:hAnsi="仿宋_GB2312" w:cs="仿宋_GB2312" w:eastAsia="仿宋_GB2312"/>
                <w:sz w:val="18"/>
                <w:color w:val="000000"/>
              </w:rPr>
              <w:t>⑤《财政部司法部关于政府采购支持监狱企业发展有关问题的通知》（财库〔2014〕68号）;</w:t>
            </w:r>
          </w:p>
          <w:p>
            <w:pPr>
              <w:pStyle w:val="null3"/>
              <w:ind w:firstLine="640"/>
              <w:jc w:val="left"/>
            </w:pPr>
            <w:r>
              <w:rPr>
                <w:rFonts w:ascii="仿宋_GB2312" w:hAnsi="仿宋_GB2312" w:cs="仿宋_GB2312" w:eastAsia="仿宋_GB2312"/>
                <w:sz w:val="18"/>
                <w:color w:val="000000"/>
              </w:rPr>
              <w:t>⑥《三部门联合发布关于促进残疾人就业政府采购政策的通知》（财库〔2017〕141号）;</w:t>
            </w:r>
          </w:p>
          <w:p>
            <w:pPr>
              <w:pStyle w:val="null3"/>
              <w:ind w:firstLine="640"/>
              <w:jc w:val="left"/>
            </w:pPr>
            <w:r>
              <w:rPr>
                <w:rFonts w:ascii="仿宋_GB2312" w:hAnsi="仿宋_GB2312" w:cs="仿宋_GB2312" w:eastAsia="仿宋_GB2312"/>
                <w:sz w:val="18"/>
                <w:color w:val="000000"/>
              </w:rPr>
              <w:t>⑦《财政部发展改 革委生态环境部市场监管总局关于调整优化节能产品、环境标志产品政府采购执行机制的通知》（财库〔2019〕9号）;</w:t>
            </w:r>
          </w:p>
          <w:p>
            <w:pPr>
              <w:pStyle w:val="null3"/>
              <w:ind w:firstLine="640"/>
              <w:jc w:val="left"/>
            </w:pPr>
            <w:r>
              <w:rPr>
                <w:rFonts w:ascii="仿宋_GB2312" w:hAnsi="仿宋_GB2312" w:cs="仿宋_GB2312" w:eastAsia="仿宋_GB2312"/>
                <w:sz w:val="18"/>
                <w:color w:val="000000"/>
              </w:rPr>
              <w:t>⑧《关于运用政府采购政策支持乡村产业振兴的通知》（财库〔2021〕19号）;</w:t>
            </w:r>
          </w:p>
          <w:p>
            <w:pPr>
              <w:pStyle w:val="null3"/>
            </w:pPr>
            <w:r>
              <w:rPr>
                <w:rFonts w:ascii="仿宋_GB2312" w:hAnsi="仿宋_GB2312" w:cs="仿宋_GB2312" w:eastAsia="仿宋_GB2312"/>
                <w:sz w:val="18"/>
                <w:color w:val="000000"/>
              </w:rPr>
              <w:t>⑨陕西省财政厅关于印发《陕西省中小企业政府采购信用融资 办法》（陕财办采〔2018〕23号）;</w:t>
            </w:r>
          </w:p>
          <w:p>
            <w:pPr>
              <w:pStyle w:val="null3"/>
              <w:ind w:firstLine="640"/>
              <w:jc w:val="left"/>
            </w:pPr>
            <w:r>
              <w:rPr>
                <w:rFonts w:ascii="仿宋_GB2312" w:hAnsi="仿宋_GB2312" w:cs="仿宋_GB2312" w:eastAsia="仿宋_GB2312"/>
                <w:sz w:val="18"/>
                <w:color w:val="000000"/>
              </w:rPr>
              <w:t>⑩《财政部关于进一步加大政府采购支持中小企业力度的通知》（财库〔2022〕19号）。</w:t>
            </w:r>
          </w:p>
          <w:p>
            <w:pPr>
              <w:pStyle w:val="null3"/>
              <w:ind w:firstLine="640"/>
              <w:jc w:val="left"/>
            </w:pPr>
            <w:r>
              <w:rPr>
                <w:rFonts w:ascii="仿宋_GB2312" w:hAnsi="仿宋_GB2312" w:cs="仿宋_GB2312" w:eastAsia="仿宋_GB2312"/>
                <w:sz w:val="18"/>
                <w:color w:val="000000"/>
              </w:rPr>
              <w:t>3.服务期限：自合同签订之日起500日历天</w:t>
            </w:r>
          </w:p>
          <w:p>
            <w:pPr>
              <w:pStyle w:val="null3"/>
              <w:ind w:firstLine="640"/>
              <w:jc w:val="left"/>
            </w:pPr>
            <w:r>
              <w:rPr>
                <w:rFonts w:ascii="仿宋_GB2312" w:hAnsi="仿宋_GB2312" w:cs="仿宋_GB2312" w:eastAsia="仿宋_GB2312"/>
                <w:sz w:val="18"/>
                <w:color w:val="000000"/>
              </w:rPr>
              <w:t>4.服务地点：渭南市临渭区</w:t>
            </w:r>
          </w:p>
          <w:p>
            <w:pPr>
              <w:pStyle w:val="null3"/>
              <w:ind w:firstLine="640"/>
              <w:jc w:val="left"/>
            </w:pPr>
            <w:r>
              <w:rPr>
                <w:rFonts w:ascii="仿宋_GB2312" w:hAnsi="仿宋_GB2312" w:cs="仿宋_GB2312" w:eastAsia="仿宋_GB2312"/>
                <w:sz w:val="18"/>
                <w:color w:val="000000"/>
              </w:rPr>
              <w:t>二、需执行的国家相关标准、行业标准、地方标准或者其他标准、规范标准</w:t>
            </w:r>
          </w:p>
          <w:p>
            <w:pPr>
              <w:pStyle w:val="null3"/>
              <w:ind w:firstLine="640"/>
              <w:jc w:val="left"/>
            </w:pPr>
            <w:r>
              <w:rPr>
                <w:rFonts w:ascii="仿宋_GB2312" w:hAnsi="仿宋_GB2312" w:cs="仿宋_GB2312" w:eastAsia="仿宋_GB2312"/>
                <w:sz w:val="18"/>
                <w:color w:val="000000"/>
              </w:rPr>
              <w:t>需执行的国家相关标准、行业标准、地方标准或者其他标准、规范的，则统一执行最新标准、规范。</w:t>
            </w:r>
          </w:p>
          <w:p>
            <w:pPr>
              <w:pStyle w:val="null3"/>
              <w:ind w:firstLine="640"/>
              <w:jc w:val="left"/>
            </w:pPr>
            <w:r>
              <w:rPr>
                <w:rFonts w:ascii="仿宋_GB2312" w:hAnsi="仿宋_GB2312" w:cs="仿宋_GB2312" w:eastAsia="仿宋_GB2312"/>
                <w:sz w:val="18"/>
                <w:color w:val="000000"/>
              </w:rPr>
              <w:t>三、服务指标的具体要求</w:t>
            </w:r>
          </w:p>
          <w:p>
            <w:pPr>
              <w:pStyle w:val="null3"/>
              <w:ind w:firstLine="640"/>
              <w:jc w:val="left"/>
            </w:pPr>
            <w:r>
              <w:rPr>
                <w:rFonts w:ascii="仿宋_GB2312" w:hAnsi="仿宋_GB2312" w:cs="仿宋_GB2312" w:eastAsia="仿宋_GB2312"/>
                <w:sz w:val="18"/>
                <w:color w:val="000000"/>
              </w:rPr>
              <w:t>采购内容</w:t>
            </w:r>
            <w:r>
              <w:rPr>
                <w:rFonts w:ascii="仿宋_GB2312" w:hAnsi="仿宋_GB2312" w:cs="仿宋_GB2312" w:eastAsia="仿宋_GB2312"/>
                <w:sz w:val="18"/>
                <w:color w:val="000000"/>
              </w:rPr>
              <w:t>：</w:t>
            </w:r>
            <w:r>
              <w:rPr>
                <w:rFonts w:ascii="仿宋_GB2312" w:hAnsi="仿宋_GB2312" w:cs="仿宋_GB2312" w:eastAsia="仿宋_GB2312"/>
                <w:sz w:val="18"/>
                <w:color w:val="000000"/>
              </w:rPr>
              <w:t>渭南市临渭区农村乱占耕地补充摸排技术服务项目</w:t>
            </w:r>
            <w:r>
              <w:rPr>
                <w:rFonts w:ascii="仿宋_GB2312" w:hAnsi="仿宋_GB2312" w:cs="仿宋_GB2312" w:eastAsia="仿宋_GB2312"/>
                <w:sz w:val="18"/>
                <w:color w:val="000000"/>
              </w:rPr>
              <w:t>；</w:t>
            </w:r>
          </w:p>
          <w:p>
            <w:pPr>
              <w:pStyle w:val="null3"/>
              <w:ind w:firstLine="640"/>
              <w:jc w:val="left"/>
            </w:pPr>
            <w:r>
              <w:rPr>
                <w:rFonts w:ascii="仿宋_GB2312" w:hAnsi="仿宋_GB2312" w:cs="仿宋_GB2312" w:eastAsia="仿宋_GB2312"/>
                <w:sz w:val="18"/>
                <w:color w:val="000000"/>
              </w:rPr>
              <w:t>主要功能或目标</w:t>
            </w:r>
            <w:r>
              <w:rPr>
                <w:rFonts w:ascii="仿宋_GB2312" w:hAnsi="仿宋_GB2312" w:cs="仿宋_GB2312" w:eastAsia="仿宋_GB2312"/>
                <w:sz w:val="18"/>
                <w:color w:val="000000"/>
              </w:rPr>
              <w:t>：</w:t>
            </w:r>
            <w:r>
              <w:rPr>
                <w:rFonts w:ascii="仿宋_GB2312" w:hAnsi="仿宋_GB2312" w:cs="仿宋_GB2312" w:eastAsia="仿宋_GB2312"/>
                <w:sz w:val="18"/>
                <w:color w:val="000000"/>
              </w:rPr>
              <w:t>按照陕西省及市级农村乱占耕地专项整治专班要求，完成渭南市临渭区农村乱占耕地补充摸排</w:t>
            </w:r>
            <w:r>
              <w:rPr>
                <w:rFonts w:ascii="仿宋_GB2312" w:hAnsi="仿宋_GB2312" w:cs="仿宋_GB2312" w:eastAsia="仿宋_GB2312"/>
                <w:sz w:val="18"/>
                <w:color w:val="000000"/>
              </w:rPr>
              <w:t>工作，为耕地保护、违法用地整治提供精准数据支撑，确保此项工作按时按质按量完成。</w:t>
            </w:r>
          </w:p>
          <w:p>
            <w:pPr>
              <w:pStyle w:val="null3"/>
              <w:ind w:firstLine="640"/>
              <w:jc w:val="left"/>
            </w:pPr>
            <w:r>
              <w:rPr>
                <w:rFonts w:ascii="仿宋_GB2312" w:hAnsi="仿宋_GB2312" w:cs="仿宋_GB2312" w:eastAsia="仿宋_GB2312"/>
                <w:sz w:val="18"/>
                <w:color w:val="000000"/>
              </w:rPr>
              <w:t>需满足的要求</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符合行业要求且满足招标人需求</w:t>
            </w:r>
            <w:r>
              <w:rPr>
                <w:rFonts w:ascii="仿宋_GB2312" w:hAnsi="仿宋_GB2312" w:cs="仿宋_GB2312" w:eastAsia="仿宋_GB2312"/>
                <w:sz w:val="18"/>
                <w:color w:val="000000"/>
              </w:rPr>
              <w:t>。</w:t>
            </w:r>
          </w:p>
          <w:p>
            <w:pPr>
              <w:pStyle w:val="null3"/>
              <w:ind w:firstLine="640"/>
              <w:jc w:val="left"/>
            </w:pPr>
            <w:r>
              <w:rPr>
                <w:rFonts w:ascii="仿宋_GB2312" w:hAnsi="仿宋_GB2312" w:cs="仿宋_GB2312" w:eastAsia="仿宋_GB2312"/>
                <w:sz w:val="18"/>
                <w:color w:val="000000"/>
              </w:rPr>
              <w:t>四、服务质量、标准、期限、效率等要求</w:t>
            </w:r>
          </w:p>
          <w:p>
            <w:pPr>
              <w:pStyle w:val="null3"/>
              <w:ind w:firstLine="640"/>
              <w:jc w:val="left"/>
            </w:pPr>
            <w:r>
              <w:rPr>
                <w:rFonts w:ascii="仿宋_GB2312" w:hAnsi="仿宋_GB2312" w:cs="仿宋_GB2312" w:eastAsia="仿宋_GB2312"/>
                <w:sz w:val="18"/>
                <w:color w:val="000000"/>
              </w:rPr>
              <w:t>符合国家相关</w:t>
            </w:r>
            <w:r>
              <w:rPr>
                <w:rFonts w:ascii="仿宋_GB2312" w:hAnsi="仿宋_GB2312" w:cs="仿宋_GB2312" w:eastAsia="仿宋_GB2312"/>
                <w:sz w:val="18"/>
                <w:color w:val="000000"/>
              </w:rPr>
              <w:t>法律法规</w:t>
            </w:r>
            <w:r>
              <w:rPr>
                <w:rFonts w:ascii="仿宋_GB2312" w:hAnsi="仿宋_GB2312" w:cs="仿宋_GB2312" w:eastAsia="仿宋_GB2312"/>
                <w:sz w:val="18"/>
                <w:color w:val="000000"/>
              </w:rPr>
              <w:t>及行业质量标准和采购人要求，达到合格标准。</w:t>
            </w:r>
          </w:p>
          <w:p>
            <w:pPr>
              <w:pStyle w:val="null3"/>
              <w:ind w:firstLine="640"/>
              <w:jc w:val="left"/>
            </w:pPr>
            <w:r>
              <w:rPr>
                <w:rFonts w:ascii="仿宋_GB2312" w:hAnsi="仿宋_GB2312" w:cs="仿宋_GB2312" w:eastAsia="仿宋_GB2312"/>
                <w:sz w:val="18"/>
                <w:color w:val="000000"/>
              </w:rPr>
              <w:t>服务期限：自合同签订之</w:t>
            </w:r>
            <w:r>
              <w:rPr>
                <w:rFonts w:ascii="仿宋_GB2312" w:hAnsi="仿宋_GB2312" w:cs="仿宋_GB2312" w:eastAsia="仿宋_GB2312"/>
                <w:sz w:val="18"/>
                <w:color w:val="000000"/>
              </w:rPr>
              <w:t>日起500</w:t>
            </w:r>
            <w:r>
              <w:rPr>
                <w:rFonts w:ascii="仿宋_GB2312" w:hAnsi="仿宋_GB2312" w:cs="仿宋_GB2312" w:eastAsia="仿宋_GB2312"/>
                <w:sz w:val="18"/>
                <w:color w:val="000000"/>
              </w:rPr>
              <w:t>日历天</w:t>
            </w:r>
            <w:r>
              <w:rPr>
                <w:rFonts w:ascii="仿宋_GB2312" w:hAnsi="仿宋_GB2312" w:cs="仿宋_GB2312" w:eastAsia="仿宋_GB2312"/>
                <w:sz w:val="18"/>
                <w:color w:val="000000"/>
              </w:rPr>
              <w:t>。</w:t>
            </w:r>
          </w:p>
          <w:p>
            <w:pPr>
              <w:pStyle w:val="null3"/>
              <w:ind w:firstLine="640"/>
              <w:jc w:val="left"/>
            </w:pPr>
            <w:r>
              <w:rPr>
                <w:rFonts w:ascii="仿宋_GB2312" w:hAnsi="仿宋_GB2312" w:cs="仿宋_GB2312" w:eastAsia="仿宋_GB2312"/>
                <w:sz w:val="18"/>
                <w:color w:val="000000"/>
              </w:rPr>
              <w:t>五、</w:t>
            </w:r>
            <w:r>
              <w:rPr>
                <w:rFonts w:ascii="仿宋_GB2312" w:hAnsi="仿宋_GB2312" w:cs="仿宋_GB2312" w:eastAsia="仿宋_GB2312"/>
                <w:sz w:val="18"/>
                <w:color w:val="000000"/>
              </w:rPr>
              <w:t>付款方式</w:t>
            </w:r>
            <w:r>
              <w:rPr>
                <w:rFonts w:ascii="仿宋_GB2312" w:hAnsi="仿宋_GB2312" w:cs="仿宋_GB2312" w:eastAsia="仿宋_GB2312"/>
                <w:sz w:val="18"/>
                <w:color w:val="000000"/>
              </w:rPr>
              <w:t>付款条件说明：</w:t>
            </w:r>
          </w:p>
          <w:p>
            <w:pPr>
              <w:pStyle w:val="null3"/>
              <w:ind w:firstLine="560"/>
              <w:jc w:val="left"/>
            </w:pPr>
            <w:r>
              <w:rPr>
                <w:rFonts w:ascii="仿宋_GB2312" w:hAnsi="仿宋_GB2312" w:cs="仿宋_GB2312" w:eastAsia="仿宋_GB2312"/>
                <w:sz w:val="18"/>
                <w:color w:val="000000"/>
              </w:rPr>
              <w:t>1、合同签订后10个工作日内，采购人支付合同总价款的40%。</w:t>
            </w:r>
          </w:p>
          <w:p>
            <w:pPr>
              <w:pStyle w:val="null3"/>
              <w:ind w:firstLine="560"/>
              <w:jc w:val="left"/>
            </w:pPr>
            <w:r>
              <w:rPr>
                <w:rFonts w:ascii="仿宋_GB2312" w:hAnsi="仿宋_GB2312" w:cs="仿宋_GB2312" w:eastAsia="仿宋_GB2312"/>
                <w:sz w:val="18"/>
                <w:color w:val="000000"/>
              </w:rPr>
              <w:t>2、剩余费用待项目结束，验收合格后，一个月内支付剩余合同价款。</w:t>
            </w:r>
          </w:p>
          <w:p>
            <w:pPr>
              <w:pStyle w:val="null3"/>
              <w:ind w:firstLine="640"/>
              <w:jc w:val="left"/>
            </w:pPr>
            <w:r>
              <w:rPr>
                <w:rFonts w:ascii="仿宋_GB2312" w:hAnsi="仿宋_GB2312" w:cs="仿宋_GB2312" w:eastAsia="仿宋_GB2312"/>
                <w:sz w:val="18"/>
                <w:color w:val="000000"/>
              </w:rPr>
              <w:t>六、</w:t>
            </w:r>
            <w:r>
              <w:rPr>
                <w:rFonts w:ascii="仿宋_GB2312" w:hAnsi="仿宋_GB2312" w:cs="仿宋_GB2312" w:eastAsia="仿宋_GB2312"/>
                <w:sz w:val="18"/>
                <w:color w:val="000000"/>
              </w:rPr>
              <w:t>验收标准</w:t>
            </w:r>
          </w:p>
          <w:p>
            <w:pPr>
              <w:pStyle w:val="null3"/>
              <w:ind w:firstLine="640"/>
              <w:jc w:val="left"/>
            </w:pPr>
            <w:r>
              <w:rPr>
                <w:rFonts w:ascii="仿宋_GB2312" w:hAnsi="仿宋_GB2312" w:cs="仿宋_GB2312" w:eastAsia="仿宋_GB2312"/>
                <w:sz w:val="18"/>
                <w:color w:val="000000"/>
              </w:rPr>
              <w:t>验收标准：符合国家相关</w:t>
            </w:r>
            <w:r>
              <w:rPr>
                <w:rFonts w:ascii="仿宋_GB2312" w:hAnsi="仿宋_GB2312" w:cs="仿宋_GB2312" w:eastAsia="仿宋_GB2312"/>
                <w:sz w:val="18"/>
                <w:color w:val="000000"/>
              </w:rPr>
              <w:t>法律法规</w:t>
            </w:r>
            <w:r>
              <w:rPr>
                <w:rFonts w:ascii="仿宋_GB2312" w:hAnsi="仿宋_GB2312" w:cs="仿宋_GB2312" w:eastAsia="仿宋_GB2312"/>
                <w:sz w:val="18"/>
                <w:color w:val="000000"/>
              </w:rPr>
              <w:t>及行业质量标准和采购人要求，达到合格标准</w:t>
            </w:r>
            <w:r>
              <w:rPr>
                <w:rFonts w:ascii="仿宋_GB2312" w:hAnsi="仿宋_GB2312" w:cs="仿宋_GB2312" w:eastAsia="仿宋_GB2312"/>
                <w:sz w:val="18"/>
                <w:color w:val="000000"/>
              </w:rPr>
              <w:t>。</w:t>
            </w:r>
          </w:p>
          <w:p>
            <w:pPr>
              <w:pStyle w:val="null3"/>
              <w:ind w:firstLine="640"/>
              <w:jc w:val="left"/>
            </w:pPr>
            <w:r>
              <w:rPr>
                <w:rFonts w:ascii="仿宋_GB2312" w:hAnsi="仿宋_GB2312" w:cs="仿宋_GB2312" w:eastAsia="仿宋_GB2312"/>
                <w:sz w:val="18"/>
                <w:color w:val="000000"/>
              </w:rPr>
              <w:t>验收依据：国家及当地相关的标准和规范。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验收标准：符合国家相关法律法规及行业质量标准和采购人要求，达到合格标准。 验收依据：国家及当地相关的标准和规范。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合同签订后10个工作日内，采购人支付合同总价款的40%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剩余费用待项目结束，验收合格后，一个月内支付剩余合同价款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供应商需在项目电子化交易系统中技要求填写《投标函》完成承诺并进行电子签章。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具有独立承担民事责任能力的法人或其他组织提供营业执照等合法证明文件。</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w:t>
            </w:r>
          </w:p>
        </w:tc>
        <w:tc>
          <w:tcPr>
            <w:tcW w:type="dxa" w:w="3322"/>
          </w:tcPr>
          <w:p>
            <w:pPr>
              <w:pStyle w:val="null3"/>
            </w:pPr>
            <w:r>
              <w:rPr>
                <w:rFonts w:ascii="仿宋_GB2312" w:hAnsi="仿宋_GB2312" w:cs="仿宋_GB2312" w:eastAsia="仿宋_GB2312"/>
              </w:rPr>
              <w:t>供应商应授权合法的人员参加投标，其中法定代表人直接参加投标，须出具法定代表人身份证，并与营业执照上信息一致。法定代表人授权代表参加投标，须出具法定代表人授权书及授权代表身份证原件。</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具有财务审计资质单位出具的2024年度财务审计报告（成立时间至投标文件递交截止时间前不足一年的可提供成立后任意时段的资产负债表）或投标文件递交截止时间前六个月内其基本账户银行出具的资信证明（附基本账户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提供投标文件递交截止时间前一年内任意一个月的缴费凭据（依法免税的供应商应提供相关文件证明）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供应商及项目负责人要求</w:t>
            </w:r>
          </w:p>
        </w:tc>
        <w:tc>
          <w:tcPr>
            <w:tcW w:type="dxa" w:w="3322"/>
          </w:tcPr>
          <w:p>
            <w:pPr>
              <w:pStyle w:val="null3"/>
            </w:pPr>
            <w:r>
              <w:rPr>
                <w:rFonts w:ascii="仿宋_GB2312" w:hAnsi="仿宋_GB2312" w:cs="仿宋_GB2312" w:eastAsia="仿宋_GB2312"/>
              </w:rPr>
              <w:t>供应商须具有土地规划或城乡规划乙级及以上资质（含乙级）或测绘乙级及以上资质（含乙级），项目负责人应具备相关专业的中级职称。</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书面说明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按综合评分由高到低顺序推荐成交候选人。综合评分相等时，按照最后报价由低到高的顺序推荐；报价也相等的，按响应方案得分顺序排列；响应方案得分相等的，由磋商小组无记名投票，票数由高到低排序。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根据所提供的针对本项目的整体实施方案，方案包含但不限于：①对项目的理解；②政策、法律、法规的解读；③项目编制的依据；④工作思路；⑤服务内容；⑥项目成果等。二、评审标准：提供详细、合理、科学可行的方案，方案符合本项目采购需求有针对性，以上6项，以序号①、②、③、④、⑤、⑥为项数，内容无缺项、无漏项且无缺陷的得18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专业化服务方案</w:t>
            </w:r>
          </w:p>
        </w:tc>
        <w:tc>
          <w:tcPr>
            <w:tcW w:type="dxa" w:w="2492"/>
          </w:tcPr>
          <w:p>
            <w:pPr>
              <w:pStyle w:val="null3"/>
            </w:pPr>
            <w:r>
              <w:rPr>
                <w:rFonts w:ascii="仿宋_GB2312" w:hAnsi="仿宋_GB2312" w:cs="仿宋_GB2312" w:eastAsia="仿宋_GB2312"/>
              </w:rPr>
              <w:t>一、评审内容：根据所提供的针对本项目的专业化服务方案情况进行综合评价。专业化服务方案包含：①基础资料收集与整理；②实施方案编制；③针对服务内容所需的具体方案；④保密措施。二、评审标准：提供详细、合理、科学可行的方案，方案符合本项目采购需求有针对性，以上4项，以序号①、②、③、④为项数，内容无缺项、无漏项且无缺陷的得16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一、评审内容：供应商根据本项目采购内容及要求编制服务质量保障措施，包含但不限于①质量标准；②质量控制体系；③质量保证措施等。 二、评审标准：提供详细、合理、科学可行的方案，方案符合本项目采购需求有针对性，以上3项，以序号①、②、③为项数，内容无缺项、无漏项且无缺陷的得12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一、评审内容：项目重点难点分析及解决方案，包含但不限于：①项目实施面临的重点、难点分析；②对重点、难点的解决方案等。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 包含但不限于：①综合实力；②经营状况。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一、评审内容：供应商根据本项目采购内容及要求编制进度计划安排，包含但不限于①各阶段时间节点②进度保障措施③临时调整措施及应急处理能力等。 二、评审标准：提供详细、合理、科学可行的方案，方案符合本项目采购需求有针对性，以序号①、②、③为项数，内容无缺项、无漏项且无缺陷的得6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1、服务团队：①实施团队人员配备6人及以上得6分； ②实施团队人员配备4-5人得4分； ③实施团队人员配备1-3人得2分。 需提供佐证材料，包括但不限于身份证、毕业证、岗位证或相关证书等，本项最高得6分，未提供不得分。 2、服务团队人员（不包含项目负责人）每具有一个相关专业初级职称得1分，相关专业中级职称得2分，本项最多得4分，需提供加盖公章的职称证书复印件，未提供不得分。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提供近三年（2023年3月）以来类似业绩，每提供一个有效业绩得2分，满分6分。注：不提供得0分。（以合同签订时间为准。）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满足磋商文件要求且最后报价最低的供应商的价格为基准价得20分，其他各供应商的最后报价得分按下列公式计算：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详见附件：乱占耕地项目合同.docx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