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版本号：政采-临渭区-2026-0007120260401001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省级垃圾分类示范小区运维服务项目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政采-临渭区-2026-00071</w:t>
      </w:r>
      <w:r>
        <w:br/>
      </w:r>
      <w:r>
        <w:br/>
      </w:r>
      <w:r>
        <w:br/>
      </w:r>
    </w:p>
    <w:p>
      <w:pPr>
        <w:pStyle w:val="null3"/>
        <w:jc w:val="center"/>
        <w:outlineLvl w:val="2"/>
      </w:pPr>
      <w:r>
        <w:rPr>
          <w:rFonts w:ascii="仿宋_GB2312" w:hAnsi="仿宋_GB2312" w:cs="仿宋_GB2312" w:eastAsia="仿宋_GB2312"/>
          <w:sz w:val="28"/>
          <w:b/>
        </w:rPr>
        <w:t>渭南市临渭区环境卫生管理中心</w:t>
      </w:r>
    </w:p>
    <w:p>
      <w:pPr>
        <w:pStyle w:val="null3"/>
        <w:jc w:val="center"/>
        <w:outlineLvl w:val="2"/>
      </w:pPr>
      <w:r>
        <w:rPr>
          <w:rFonts w:ascii="仿宋_GB2312" w:hAnsi="仿宋_GB2312" w:cs="仿宋_GB2312" w:eastAsia="仿宋_GB2312"/>
          <w:sz w:val="28"/>
          <w:b/>
        </w:rPr>
        <w:t>华兴天成项目咨询有限公司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华兴天成项目咨询有限公司</w:t>
      </w:r>
      <w:r>
        <w:rPr>
          <w:rFonts w:ascii="仿宋_GB2312" w:hAnsi="仿宋_GB2312" w:cs="仿宋_GB2312" w:eastAsia="仿宋_GB2312"/>
        </w:rPr>
        <w:t>（以下简称“代理机构”）受</w:t>
      </w:r>
      <w:r>
        <w:rPr>
          <w:rFonts w:ascii="仿宋_GB2312" w:hAnsi="仿宋_GB2312" w:cs="仿宋_GB2312" w:eastAsia="仿宋_GB2312"/>
        </w:rPr>
        <w:t>渭南市临渭区环境卫生管理中心</w:t>
      </w:r>
      <w:r>
        <w:rPr>
          <w:rFonts w:ascii="仿宋_GB2312" w:hAnsi="仿宋_GB2312" w:cs="仿宋_GB2312" w:eastAsia="仿宋_GB2312"/>
        </w:rPr>
        <w:t>委托，拟对</w:t>
      </w:r>
      <w:r>
        <w:rPr>
          <w:rFonts w:ascii="仿宋_GB2312" w:hAnsi="仿宋_GB2312" w:cs="仿宋_GB2312" w:eastAsia="仿宋_GB2312"/>
        </w:rPr>
        <w:t>省级垃圾分类示范小区运维服务项目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政采-临渭区-2026-00071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省级垃圾分类示范小区运维服务项目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进一步加大生活垃圾分类宣传教育引导，提高群众绿色环保低碳环保意识，助力群众生活垃圾分类文明习惯养成，促进资源回收利用，我单位拟采购省级垃圾分类示范小区上上国风三期、盛世华府、通达·郎郡、碧桂园·翡翠公馆运维服务，配置垃圾分类督导员定时定点桶边引导、分类宣传，对小区内垃圾分类设施设备及宣传品定期维护，督促引导小区分类工作落地见效，并做好台账资料。</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采购包1（省级垃圾分类示范小区运维服务项目）：属于专门面向中小企业采购。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人授权委托书/法人身份证明书：法定代表人参与磋商时需提供法定代表人身份证明书（附法定代表人身份证复印件）；被授权人参与磋商时需提供法定代表人授权委托书及法定代表人身份证明书（附法定代表人及被授权人身份证复印件）</w:t>
      </w:r>
    </w:p>
    <w:p>
      <w:pPr>
        <w:pStyle w:val="null3"/>
      </w:pPr>
      <w:r>
        <w:rPr>
          <w:rFonts w:ascii="仿宋_GB2312" w:hAnsi="仿宋_GB2312" w:cs="仿宋_GB2312" w:eastAsia="仿宋_GB2312"/>
        </w:rPr>
        <w:t>2、磋商保证金：磋商保证金交纳凭证</w:t>
      </w:r>
    </w:p>
    <w:p>
      <w:pPr>
        <w:pStyle w:val="null3"/>
      </w:pPr>
      <w:r>
        <w:rPr>
          <w:rFonts w:ascii="仿宋_GB2312" w:hAnsi="仿宋_GB2312" w:cs="仿宋_GB2312" w:eastAsia="仿宋_GB2312"/>
        </w:rPr>
        <w:t>3、信用信息：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4、无控股、管理承诺：单位负责人为同一人或者存在直接控股、管理关系的不同供应商不得参加同一合同项下的政府采购活动；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渭南市临渭区环境卫生管理中心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陕西省渭南市临渭区胜利大街东段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宋敏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0913-8139358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华兴天成项目咨询有限公司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陕西省西安市高新区唐延路11号禾盛京广中心E座17层1704A室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13571518412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渭南市临渭区政府采购管理股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吕洁</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0913-2130873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采购包1：960,000.00元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采购包1保证金金额：18,000.00元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开户名称：华兴天成项目咨询有限公司</w:t>
            </w:r>
          </w:p>
          <w:p>
            <w:pPr>
              <w:pStyle w:val="null3"/>
            </w:pPr>
            <w:r>
              <w:rPr>
                <w:rFonts w:ascii="仿宋_GB2312" w:hAnsi="仿宋_GB2312" w:cs="仿宋_GB2312" w:eastAsia="仿宋_GB2312"/>
              </w:rPr>
              <w:t>开户银行：西安银行股份有限公司未来支行</w:t>
            </w:r>
          </w:p>
          <w:p>
            <w:pPr>
              <w:pStyle w:val="null3"/>
            </w:pPr>
            <w:r>
              <w:rPr>
                <w:rFonts w:ascii="仿宋_GB2312" w:hAnsi="仿宋_GB2312" w:cs="仿宋_GB2312" w:eastAsia="仿宋_GB2312"/>
              </w:rPr>
              <w:t>银行账号：291011580000051615</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发展改革委关于进一步放开建设项目专业服务价格的通知》（发改价格﹝2015﹞299号）的要求，参照计价格﹝2002﹞1980号、发改价格﹝2011﹞534号文件的计费标准，以中标（成交）价为基数计算，按照标准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渭南市临渭区环境卫生管理中心</w:t>
      </w:r>
      <w:r>
        <w:rPr>
          <w:rFonts w:ascii="仿宋_GB2312" w:hAnsi="仿宋_GB2312" w:cs="仿宋_GB2312" w:eastAsia="仿宋_GB2312"/>
        </w:rPr>
        <w:t>和</w:t>
      </w:r>
      <w:r>
        <w:rPr>
          <w:rFonts w:ascii="仿宋_GB2312" w:hAnsi="仿宋_GB2312" w:cs="仿宋_GB2312" w:eastAsia="仿宋_GB2312"/>
        </w:rPr>
        <w:t>华兴天成项目咨询有限公司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渭南市临渭区环境卫生管理中心</w:t>
      </w:r>
      <w:r>
        <w:rPr>
          <w:rFonts w:ascii="仿宋_GB2312" w:hAnsi="仿宋_GB2312" w:cs="仿宋_GB2312" w:eastAsia="仿宋_GB2312"/>
        </w:rPr>
        <w:t>负责解释。除上述磋商文件内容，其他内容由</w:t>
      </w:r>
      <w:r>
        <w:rPr>
          <w:rFonts w:ascii="仿宋_GB2312" w:hAnsi="仿宋_GB2312" w:cs="仿宋_GB2312" w:eastAsia="仿宋_GB2312"/>
        </w:rPr>
        <w:t>华兴天成项目咨询有限公司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渭南市临渭区环境卫生管理中心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华兴天成项目咨询有限公司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1.需满足相关规定及要求。 2.所供服务能力的规格、数量符合采购文件投标人承诺及采购合同约定的要求。 3.本项目由采购人及相关部门对项目进行验收。 4.供应商承诺及采购合同约定的图文资料等齐全；提供人员信息、工作图片、台账等资料。 5.验收标准：按磋商文件、响应文件、项目交付情况等综合指标进行验收。各项指标均应符合验收标准及要求。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华兴天成项目咨询有限公司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华兴天成项目咨询有限公司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华兴天成项目咨询有限公司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联系人：王敏</w:t>
      </w:r>
    </w:p>
    <w:p>
      <w:pPr>
        <w:pStyle w:val="null3"/>
      </w:pPr>
      <w:r>
        <w:rPr>
          <w:rFonts w:ascii="仿宋_GB2312" w:hAnsi="仿宋_GB2312" w:cs="仿宋_GB2312" w:eastAsia="仿宋_GB2312"/>
        </w:rPr>
        <w:t>联系电话：13571518412</w:t>
      </w:r>
    </w:p>
    <w:p>
      <w:pPr>
        <w:pStyle w:val="null3"/>
      </w:pPr>
      <w:r>
        <w:rPr>
          <w:rFonts w:ascii="仿宋_GB2312" w:hAnsi="仿宋_GB2312" w:cs="仿宋_GB2312" w:eastAsia="仿宋_GB2312"/>
        </w:rPr>
        <w:t>地址：陕西省西安市高新区唐延路11号禾盛京广中心E座17层1704A室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进一步加大生活垃圾分类宣传教育引导，提高群众绿色环保低碳环保意识，助力群众生活垃圾分类文明习惯养成，促进资源回收利用，我单位拟采购省级垃圾分类示范小区上上国风三期、盛世华府、通达·郎郡、碧桂园·翡翠公馆运维服务，配置垃圾分类督导员定时定点桶边引导、分类宣传，对小区内垃圾分类设施设备及宣传品定期维护，督促引导小区分类工作落地见效，并做好台账资料。</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960,000.00</w:t>
      </w:r>
    </w:p>
    <w:p>
      <w:pPr>
        <w:pStyle w:val="null3"/>
      </w:pPr>
      <w:r>
        <w:rPr>
          <w:rFonts w:ascii="仿宋_GB2312" w:hAnsi="仿宋_GB2312" w:cs="仿宋_GB2312" w:eastAsia="仿宋_GB2312"/>
        </w:rPr>
        <w:t>采购包最高限价（元）: 960,000.00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省级垃圾分类示范小区运维服务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960,000.00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标的名称：省级垃圾分类示范小区运维服务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firstLine="643"/>
              <w:jc w:val="left"/>
            </w:pPr>
            <w:r>
              <w:rPr>
                <w:rFonts w:ascii="仿宋_GB2312" w:hAnsi="仿宋_GB2312" w:cs="仿宋_GB2312" w:eastAsia="仿宋_GB2312"/>
                <w:sz w:val="32"/>
                <w:b/>
              </w:rPr>
              <w:t>一、服务项目概况</w:t>
            </w:r>
          </w:p>
          <w:p>
            <w:pPr>
              <w:pStyle w:val="null3"/>
              <w:ind w:firstLine="640"/>
              <w:jc w:val="left"/>
            </w:pPr>
            <w:r>
              <w:rPr>
                <w:rFonts w:ascii="仿宋_GB2312" w:hAnsi="仿宋_GB2312" w:cs="仿宋_GB2312" w:eastAsia="仿宋_GB2312"/>
                <w:sz w:val="32"/>
              </w:rPr>
              <w:t>为进一步加大生活垃圾分类宣传教育引导，提高群众绿色环保低碳环保意识，助力群众生活垃圾分类文明习惯养成，促进资源回收利用，我单位拟采购省级垃圾分类示范小区上上国风三期、盛世华府、通达</w:t>
            </w:r>
            <w:r>
              <w:rPr>
                <w:rFonts w:ascii="仿宋_GB2312" w:hAnsi="仿宋_GB2312" w:cs="仿宋_GB2312" w:eastAsia="仿宋_GB2312"/>
                <w:sz w:val="32"/>
              </w:rPr>
              <w:t>·郎郡、碧桂园</w:t>
            </w:r>
            <w:r>
              <w:rPr>
                <w:rFonts w:ascii="仿宋_GB2312" w:hAnsi="仿宋_GB2312" w:cs="仿宋_GB2312" w:eastAsia="仿宋_GB2312"/>
                <w:sz w:val="32"/>
              </w:rPr>
              <w:t>·</w:t>
            </w:r>
            <w:r>
              <w:rPr>
                <w:rFonts w:ascii="仿宋_GB2312" w:hAnsi="仿宋_GB2312" w:cs="仿宋_GB2312" w:eastAsia="仿宋_GB2312"/>
                <w:sz w:val="32"/>
              </w:rPr>
              <w:t>翡翠公馆运维服务，配置垃圾分类督导员定时定点桶边引导、分类宣传，对小区内垃圾分类设施设备及宣传品定期维护，做好台账资料。      二、</w:t>
            </w:r>
            <w:r>
              <w:rPr>
                <w:rFonts w:ascii="仿宋_GB2312" w:hAnsi="仿宋_GB2312" w:cs="仿宋_GB2312" w:eastAsia="仿宋_GB2312"/>
                <w:sz w:val="32"/>
                <w:b/>
              </w:rPr>
              <w:t>服务内容</w:t>
            </w:r>
          </w:p>
          <w:p>
            <w:pPr>
              <w:pStyle w:val="null3"/>
              <w:ind w:firstLine="640"/>
              <w:jc w:val="left"/>
            </w:pPr>
            <w:r>
              <w:rPr>
                <w:rFonts w:ascii="仿宋_GB2312" w:hAnsi="仿宋_GB2312" w:cs="仿宋_GB2312" w:eastAsia="仿宋_GB2312"/>
                <w:sz w:val="32"/>
              </w:rPr>
              <w:t>（</w:t>
            </w:r>
            <w:r>
              <w:rPr>
                <w:rFonts w:ascii="仿宋_GB2312" w:hAnsi="仿宋_GB2312" w:cs="仿宋_GB2312" w:eastAsia="仿宋_GB2312"/>
                <w:sz w:val="32"/>
              </w:rPr>
              <w:t>1）</w:t>
            </w:r>
            <w:r>
              <w:rPr>
                <w:rFonts w:ascii="仿宋_GB2312" w:hAnsi="仿宋_GB2312" w:cs="仿宋_GB2312" w:eastAsia="仿宋_GB2312"/>
                <w:sz w:val="32"/>
              </w:rPr>
              <w:t>设施设备与环境维护</w:t>
            </w:r>
          </w:p>
          <w:p>
            <w:pPr>
              <w:pStyle w:val="null3"/>
              <w:ind w:firstLine="640"/>
              <w:jc w:val="left"/>
            </w:pPr>
            <w:r>
              <w:rPr>
                <w:rFonts w:ascii="仿宋_GB2312" w:hAnsi="仿宋_GB2312" w:cs="仿宋_GB2312" w:eastAsia="仿宋_GB2312"/>
                <w:sz w:val="32"/>
              </w:rPr>
              <w:t>①督导员每日上岗后首先检查分类亭、垃圾桶的完好性与清洁度，发现破损或标识不清立即向物业报修并记录；</w:t>
            </w:r>
          </w:p>
          <w:p>
            <w:pPr>
              <w:pStyle w:val="null3"/>
              <w:ind w:firstLine="640"/>
              <w:jc w:val="left"/>
            </w:pPr>
            <w:r>
              <w:rPr>
                <w:rFonts w:ascii="仿宋_GB2312" w:hAnsi="仿宋_GB2312" w:cs="仿宋_GB2312" w:eastAsia="仿宋_GB2312"/>
                <w:sz w:val="32"/>
              </w:rPr>
              <w:t>②清洁桶身、内壁及亭面，确保无污渍无异味。每周对垃圾桶进行彻底冲洗消毒，每月检查分类亭结构及宣传栏完整性。同时遵循“即投即清即洁”原则，随时捡拾落地垃圾，并将分类亭周边5米纳入重点保洁区，协同物业保持环境整洁</w:t>
            </w:r>
            <w:r>
              <w:rPr>
                <w:rFonts w:ascii="仿宋_GB2312" w:hAnsi="仿宋_GB2312" w:cs="仿宋_GB2312" w:eastAsia="仿宋_GB2312"/>
                <w:sz w:val="32"/>
              </w:rPr>
              <w:t>。</w:t>
            </w:r>
          </w:p>
          <w:p>
            <w:pPr>
              <w:pStyle w:val="null3"/>
              <w:ind w:firstLine="640"/>
              <w:jc w:val="left"/>
            </w:pPr>
            <w:r>
              <w:rPr>
                <w:rFonts w:ascii="仿宋_GB2312" w:hAnsi="仿宋_GB2312" w:cs="仿宋_GB2312" w:eastAsia="仿宋_GB2312"/>
                <w:sz w:val="32"/>
              </w:rPr>
              <w:t>（</w:t>
            </w:r>
            <w:r>
              <w:rPr>
                <w:rFonts w:ascii="仿宋_GB2312" w:hAnsi="仿宋_GB2312" w:cs="仿宋_GB2312" w:eastAsia="仿宋_GB2312"/>
                <w:sz w:val="32"/>
              </w:rPr>
              <w:t>2）垃圾分类指导与立体宣传</w:t>
            </w:r>
          </w:p>
          <w:p>
            <w:pPr>
              <w:pStyle w:val="null3"/>
              <w:ind w:firstLine="640"/>
              <w:jc w:val="left"/>
            </w:pPr>
            <w:r>
              <w:rPr>
                <w:rFonts w:ascii="仿宋_GB2312" w:hAnsi="仿宋_GB2312" w:cs="仿宋_GB2312" w:eastAsia="仿宋_GB2312"/>
                <w:sz w:val="32"/>
              </w:rPr>
              <w:t>①定时定点督导：根据小区户数与投放高峰足额配置专职督导员，统一着装佩戴工牌；高峰时段全员在岗，主动使用文明用语提供开袋检查，对分类不准确的居民耐心讲解纠正</w:t>
            </w:r>
            <w:r>
              <w:rPr>
                <w:rFonts w:ascii="仿宋_GB2312" w:hAnsi="仿宋_GB2312" w:cs="仿宋_GB2312" w:eastAsia="仿宋_GB2312"/>
                <w:sz w:val="32"/>
              </w:rPr>
              <w:t>；</w:t>
            </w:r>
          </w:p>
          <w:p>
            <w:pPr>
              <w:pStyle w:val="null3"/>
              <w:ind w:firstLine="640"/>
              <w:jc w:val="left"/>
            </w:pPr>
            <w:r>
              <w:rPr>
                <w:rFonts w:ascii="仿宋_GB2312" w:hAnsi="仿宋_GB2312" w:cs="仿宋_GB2312" w:eastAsia="仿宋_GB2312"/>
                <w:sz w:val="32"/>
              </w:rPr>
              <w:t>②立体化宣传：规范设置小区出入口、宣传栏等位置的分类指南及监督电话并定期维护；每周制定计划入户或入铺宣传，发放《临渭区生活垃圾分类指导手册》与《倡议书》，分类亭常备资料供取阅；督导员同时收集居民意见，做好信息记录。</w:t>
            </w:r>
          </w:p>
          <w:p>
            <w:pPr>
              <w:pStyle w:val="null3"/>
              <w:ind w:firstLine="640"/>
              <w:jc w:val="left"/>
            </w:pPr>
            <w:r>
              <w:rPr>
                <w:rFonts w:ascii="仿宋_GB2312" w:hAnsi="仿宋_GB2312" w:cs="仿宋_GB2312" w:eastAsia="仿宋_GB2312"/>
                <w:sz w:val="32"/>
              </w:rPr>
              <w:t>（</w:t>
            </w:r>
            <w:r>
              <w:rPr>
                <w:rFonts w:ascii="仿宋_GB2312" w:hAnsi="仿宋_GB2312" w:cs="仿宋_GB2312" w:eastAsia="仿宋_GB2312"/>
                <w:sz w:val="32"/>
              </w:rPr>
              <w:t>3）数据记录与分析</w:t>
            </w:r>
          </w:p>
          <w:p>
            <w:pPr>
              <w:pStyle w:val="null3"/>
              <w:ind w:firstLine="640"/>
              <w:jc w:val="left"/>
            </w:pPr>
            <w:r>
              <w:rPr>
                <w:rFonts w:ascii="仿宋_GB2312" w:hAnsi="仿宋_GB2312" w:cs="仿宋_GB2312" w:eastAsia="仿宋_GB2312"/>
                <w:sz w:val="32"/>
              </w:rPr>
              <w:t>①</w:t>
            </w:r>
            <w:r>
              <w:rPr>
                <w:rFonts w:ascii="仿宋_GB2312" w:hAnsi="仿宋_GB2312" w:cs="仿宋_GB2312" w:eastAsia="仿宋_GB2312"/>
                <w:sz w:val="32"/>
              </w:rPr>
              <w:t>督导员每日记录督导动态、设施维护及分类转运情况，形成工作日志；</w:t>
            </w:r>
          </w:p>
          <w:p>
            <w:pPr>
              <w:pStyle w:val="null3"/>
              <w:ind w:firstLine="640"/>
              <w:jc w:val="left"/>
            </w:pPr>
            <w:r>
              <w:rPr>
                <w:rFonts w:ascii="仿宋_GB2312" w:hAnsi="仿宋_GB2312" w:cs="仿宋_GB2312" w:eastAsia="仿宋_GB2312"/>
                <w:sz w:val="32"/>
              </w:rPr>
              <w:t>②</w:t>
            </w:r>
            <w:r>
              <w:rPr>
                <w:rFonts w:ascii="仿宋_GB2312" w:hAnsi="仿宋_GB2312" w:cs="仿宋_GB2312" w:eastAsia="仿宋_GB2312"/>
                <w:sz w:val="32"/>
              </w:rPr>
              <w:t>每周汇总分析数据与日志，对宣传活动、设施状态、突出问题等留存影像资料，分类归档备查。</w:t>
            </w:r>
          </w:p>
          <w:p>
            <w:pPr>
              <w:pStyle w:val="null3"/>
              <w:ind w:firstLine="643"/>
              <w:jc w:val="both"/>
            </w:pPr>
            <w:r>
              <w:rPr>
                <w:rFonts w:ascii="仿宋_GB2312" w:hAnsi="仿宋_GB2312" w:cs="仿宋_GB2312" w:eastAsia="仿宋_GB2312"/>
                <w:sz w:val="32"/>
                <w:b/>
              </w:rPr>
              <w:t>三、服务技术</w:t>
            </w:r>
            <w:r>
              <w:rPr>
                <w:rFonts w:ascii="仿宋_GB2312" w:hAnsi="仿宋_GB2312" w:cs="仿宋_GB2312" w:eastAsia="仿宋_GB2312"/>
                <w:sz w:val="32"/>
                <w:b/>
              </w:rPr>
              <w:t>要求</w:t>
            </w:r>
          </w:p>
          <w:p>
            <w:pPr>
              <w:pStyle w:val="null3"/>
              <w:ind w:firstLine="640"/>
              <w:jc w:val="left"/>
            </w:pPr>
            <w:r>
              <w:rPr>
                <w:rFonts w:ascii="仿宋_GB2312" w:hAnsi="仿宋_GB2312" w:cs="仿宋_GB2312" w:eastAsia="仿宋_GB2312"/>
                <w:sz w:val="32"/>
              </w:rPr>
              <w:t>1.按分类要求足额配置督导人员，主动、有效指导居民群众进行生活垃圾分类投放工作。</w:t>
            </w:r>
          </w:p>
          <w:p>
            <w:pPr>
              <w:pStyle w:val="null3"/>
              <w:ind w:firstLine="640"/>
              <w:jc w:val="left"/>
            </w:pPr>
            <w:r>
              <w:rPr>
                <w:rFonts w:ascii="仿宋_GB2312" w:hAnsi="仿宋_GB2312" w:cs="仿宋_GB2312" w:eastAsia="仿宋_GB2312"/>
                <w:sz w:val="32"/>
              </w:rPr>
              <w:t>2.工作上岗人员统一着装，佩戴工牌，注意文明礼仪，礼貌用语，定时定点到岗，工作指导过程中避免与居民产生纠纷。</w:t>
            </w:r>
          </w:p>
          <w:p>
            <w:pPr>
              <w:pStyle w:val="null3"/>
              <w:ind w:firstLine="640"/>
              <w:jc w:val="left"/>
            </w:pPr>
            <w:r>
              <w:rPr>
                <w:rFonts w:ascii="仿宋_GB2312" w:hAnsi="仿宋_GB2312" w:cs="仿宋_GB2312" w:eastAsia="仿宋_GB2312"/>
                <w:sz w:val="32"/>
              </w:rPr>
              <w:t>3.确保分类亭设施及周围环境卫生整洁，给予小区及居民良好的居住环境。</w:t>
            </w:r>
          </w:p>
          <w:p>
            <w:pPr>
              <w:pStyle w:val="null3"/>
              <w:ind w:firstLine="640"/>
              <w:jc w:val="left"/>
            </w:pPr>
            <w:r>
              <w:rPr>
                <w:rFonts w:ascii="仿宋_GB2312" w:hAnsi="仿宋_GB2312" w:cs="仿宋_GB2312" w:eastAsia="仿宋_GB2312"/>
                <w:sz w:val="32"/>
              </w:rPr>
              <w:t>4.做好《临渭区生活垃圾分类指导手册》和《倡议书》等垃圾分类宣传资料的分发宣传工作。</w:t>
            </w:r>
          </w:p>
          <w:p>
            <w:pPr>
              <w:pStyle w:val="null3"/>
              <w:ind w:firstLine="640"/>
              <w:jc w:val="left"/>
            </w:pPr>
            <w:r>
              <w:rPr>
                <w:rFonts w:ascii="仿宋_GB2312" w:hAnsi="仿宋_GB2312" w:cs="仿宋_GB2312" w:eastAsia="仿宋_GB2312"/>
                <w:sz w:val="32"/>
              </w:rPr>
              <w:t>5.定期维护、更新宣传栏（牌）内容，其中宣传内容包括但不限于垃圾分类投放指南、基础知识、管理部门监督电话、责任人等内容。</w:t>
            </w:r>
          </w:p>
          <w:p>
            <w:pPr>
              <w:pStyle w:val="null3"/>
              <w:ind w:firstLine="640"/>
              <w:jc w:val="left"/>
            </w:pPr>
            <w:r>
              <w:rPr>
                <w:rFonts w:ascii="仿宋_GB2312" w:hAnsi="仿宋_GB2312" w:cs="仿宋_GB2312" w:eastAsia="仿宋_GB2312"/>
                <w:sz w:val="32"/>
              </w:rPr>
              <w:t>6.组织督导员对小区垃圾分类工作进行宣传指导，详细记录每天试点小区工作展情况、存在问题、分类投放(参与率、准确率)等情况，以便总结和统计据。</w:t>
            </w:r>
          </w:p>
          <w:p>
            <w:pPr>
              <w:pStyle w:val="null3"/>
              <w:ind w:firstLine="640"/>
              <w:jc w:val="left"/>
            </w:pPr>
            <w:r>
              <w:rPr>
                <w:rFonts w:ascii="仿宋_GB2312" w:hAnsi="仿宋_GB2312" w:cs="仿宋_GB2312" w:eastAsia="仿宋_GB2312"/>
                <w:sz w:val="32"/>
              </w:rPr>
              <w:t>7.每周定期入户、入铺、小区活动宣传，让广大居民群众更深入的学习垃圾分类知识，提高市民垃圾分类参与率及准确率。</w:t>
            </w:r>
          </w:p>
          <w:p>
            <w:pPr>
              <w:pStyle w:val="null3"/>
              <w:ind w:firstLine="640"/>
              <w:jc w:val="left"/>
            </w:pPr>
            <w:r>
              <w:rPr>
                <w:rFonts w:ascii="仿宋_GB2312" w:hAnsi="仿宋_GB2312" w:cs="仿宋_GB2312" w:eastAsia="仿宋_GB2312"/>
                <w:sz w:val="32"/>
              </w:rPr>
              <w:t>8.确保小区垃圾分类设施设备正常运行，分类率和准确率同步提升，确保每日更新小区四类垃圾产生量的相关台账信息，同时做好居民分类投放的监督和有关统计工作。</w:t>
            </w:r>
          </w:p>
          <w:p>
            <w:pPr>
              <w:pStyle w:val="null3"/>
              <w:ind w:firstLine="640"/>
              <w:jc w:val="both"/>
            </w:pPr>
            <w:r>
              <w:rPr>
                <w:rFonts w:ascii="仿宋_GB2312" w:hAnsi="仿宋_GB2312" w:cs="仿宋_GB2312" w:eastAsia="仿宋_GB2312"/>
                <w:sz w:val="30"/>
                <w:b/>
              </w:rPr>
              <w:t>四、服务其他要求</w:t>
            </w:r>
          </w:p>
          <w:p>
            <w:pPr>
              <w:pStyle w:val="null3"/>
              <w:ind w:firstLine="640"/>
              <w:jc w:val="both"/>
            </w:pPr>
            <w:r>
              <w:rPr>
                <w:rFonts w:ascii="仿宋_GB2312" w:hAnsi="仿宋_GB2312" w:cs="仿宋_GB2312" w:eastAsia="仿宋_GB2312"/>
                <w:sz w:val="32"/>
              </w:rPr>
              <w:t>1、供应商须严格遵守采购人及小区物业的各项管理规定，服从统一协调和安排，积极配合采购人开展的各类垃圾分类检查、考核工作。</w:t>
            </w:r>
          </w:p>
          <w:p>
            <w:pPr>
              <w:pStyle w:val="null3"/>
              <w:ind w:firstLine="640"/>
              <w:jc w:val="both"/>
            </w:pPr>
            <w:r>
              <w:rPr>
                <w:rFonts w:ascii="仿宋_GB2312" w:hAnsi="仿宋_GB2312" w:cs="仿宋_GB2312" w:eastAsia="仿宋_GB2312"/>
                <w:sz w:val="32"/>
              </w:rPr>
              <w:t>2、服务期间，供应商须加强对工作人员的日常管理，建立内部考核机制，确保服务质量；采购人有权对供应商的服务工作进行监督、检查和考核，考核结果作为服务验收和费用支付的重要依据。</w:t>
            </w:r>
          </w:p>
          <w:p>
            <w:pPr>
              <w:pStyle w:val="null3"/>
              <w:ind w:firstLine="640"/>
              <w:jc w:val="both"/>
            </w:pPr>
            <w:r>
              <w:rPr>
                <w:rFonts w:ascii="仿宋_GB2312" w:hAnsi="仿宋_GB2312" w:cs="仿宋_GB2312" w:eastAsia="仿宋_GB2312"/>
                <w:sz w:val="32"/>
              </w:rPr>
              <w:t>3、供应商须做好服务过程中的安全生产工作，落实安全生产责任，避免发生安全生产事故；若因供应商原因造成公共财产损失、居民人身伤害等，由供应商承担全部赔偿责任及相应法律责任。</w:t>
            </w:r>
          </w:p>
          <w:p>
            <w:pPr>
              <w:pStyle w:val="null3"/>
              <w:ind w:firstLine="640"/>
              <w:jc w:val="both"/>
            </w:pPr>
            <w:r>
              <w:rPr>
                <w:rFonts w:ascii="仿宋_GB2312" w:hAnsi="仿宋_GB2312" w:cs="仿宋_GB2312" w:eastAsia="仿宋_GB2312"/>
                <w:sz w:val="32"/>
              </w:rPr>
              <w:t>4、</w:t>
            </w:r>
            <w:r>
              <w:rPr>
                <w:rFonts w:ascii="仿宋_GB2312" w:hAnsi="仿宋_GB2312" w:cs="仿宋_GB2312" w:eastAsia="仿宋_GB2312"/>
                <w:sz w:val="32"/>
              </w:rPr>
              <w:t>人员培训：供应商须对所有上岗人员进行岗前培训和定期在岗培训，培训内容包括垃圾分类标准、督导服务规范、文明用语、设施设备维护、应急处置等，确保所有人员具备相应的服务能力和专业素养；培训记录留存备查。</w:t>
            </w:r>
          </w:p>
          <w:p>
            <w:pPr>
              <w:pStyle w:val="null3"/>
              <w:ind w:firstLine="640"/>
              <w:jc w:val="both"/>
            </w:pPr>
            <w:r>
              <w:rPr>
                <w:rFonts w:ascii="仿宋_GB2312" w:hAnsi="仿宋_GB2312" w:cs="仿宋_GB2312" w:eastAsia="仿宋_GB2312"/>
                <w:sz w:val="32"/>
              </w:rPr>
              <w:t>5、</w:t>
            </w:r>
            <w:r>
              <w:rPr>
                <w:rFonts w:ascii="仿宋_GB2312" w:hAnsi="仿宋_GB2312" w:cs="仿宋_GB2312" w:eastAsia="仿宋_GB2312"/>
                <w:sz w:val="32"/>
              </w:rPr>
              <w:t>人员安全责任：服务期间，供应商所派工作人员发生的任何人身伤害、安全事故等，均由供应商自行承担全部责任，采购人不承担任何连带责任，供应商须为工作人员购买足额的人身意外伤害保险等相关保险。</w:t>
            </w:r>
          </w:p>
          <w:p>
            <w:pPr>
              <w:pStyle w:val="null3"/>
              <w:ind w:firstLine="640"/>
              <w:jc w:val="left"/>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由供应商根据项目要求自行配备，并满足项目实施要求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由供应商根据项目要求自行配备，并满足项目实施要求。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1.在服务范围内按工作内容和要求制定详细的方案，方案科学、合理、可靠。 2.人员配备合理。有针对本项目的专项服务小组，项目负责人、工作人员分工明确、责任落实。 3.有各类突发事件的应急预案和措施，有明确具体的承诺。 4.供应商所拟派的工作人员，若在服务期间发生任何伤害，采购人概不负责，由供应商自行处理。</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渭南市临渭区上上国风三期、盛世华府、通达·郎郡、碧桂园·翡翠公馆</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一、验收方法 所有服务完成后，由采购人进行终验（最终验收），合格后签发《终验合格单》。 验收不合格的供应商，必须在接到通知后7个日历日内确保服务通过验收。如接到通知后7个日历日内验收仍不合格，采购人可提出索赔或取消其服务合同。 二、验收依据 1.需满足相关规定及要求。 2.所供服务能力的规格、数量符合采购文件投标人承诺及采购合同约定的要求。 3.本项目由采购人及相关部门对项目进行验收。 4.供应商承诺及采购合同约定的图文资料等齐全；提供人员信息、工作图片、台账等资料。 5.验收标准：按磋商文件、响应文件、项目交付情况等综合指标进行验收。各项指标均应符合验收标准及要求。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本项目由采购人按季度结算服务费（首次付款比例不低于40%），每季度首月15日前采购方对上季度服务情况完成验收，按照验收结果，供应商向采购人出具正式发票后，采购人支付上季度服务费用。</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未按合同要求提供的服务质量不能满足合同要求，采购人应当将供应商违约的情况以及拟采取的措施以书面形式报政府采购监管部门，根据政府采购监管部门的处理意见，采购人有权依据《中华人民共和国民法典》有关条款及合同约定终止合同，并要求供应商承担违约责任。同时，政府采购监管部门有权依据《中华人民共和国政府采购法》及相关法律法规对供货商的违法行为进行相应的处罚。 （二）其他未尽事宜，按《中华人民共和国民法典》中的相关条款执行。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中标（成交）供应商在中标（成交）结果公告发布后3个工作日内提供叁套纸质投标文件（经编标工具生成的文件直接打印并加盖公章），递交的纸质版文件内容确保与线上电子文件保持一致，不允许修改和补充。 2.根据《政府采购法实施条例》释义，银行、保险、石油石化、电力、电信等有行业特殊情况的，允许法人的分支机构参加政府采购活动。 3.根据关于印发中小企业划型标准规定的通知 （工信部联企业〔2011〕300号）中小企业划型标准规定：（十六）其他未列明行业。从业人员300人以下的为中小微型企业。其中，从业人员100人及以上的为中型企业；从业人员10人及以上的为小型企业；从业人员10人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供应商应具有独立承担民事责任能力的企业法人</w:t>
            </w:r>
          </w:p>
        </w:tc>
        <w:tc>
          <w:tcPr>
            <w:tcW w:type="dxa" w:w="3322"/>
          </w:tcPr>
          <w:p>
            <w:pPr>
              <w:pStyle w:val="null3"/>
            </w:pPr>
            <w:r>
              <w:rPr>
                <w:rFonts w:ascii="仿宋_GB2312" w:hAnsi="仿宋_GB2312" w:cs="仿宋_GB2312" w:eastAsia="仿宋_GB2312"/>
              </w:rPr>
              <w:t>企业法人应提供统一社会信用代码的营业执照等证明材料。</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具有良好的商业信誉和健全的财务会计制度以及有依法缴纳税收和社会保障资金的良好记录（提供相关证明材料或承诺）</w:t>
            </w:r>
          </w:p>
        </w:tc>
        <w:tc>
          <w:tcPr>
            <w:tcW w:type="dxa" w:w="3322"/>
          </w:tcPr>
          <w:p>
            <w:pPr>
              <w:pStyle w:val="null3"/>
            </w:pPr>
            <w:r>
              <w:rPr>
                <w:rFonts w:ascii="仿宋_GB2312" w:hAnsi="仿宋_GB2312" w:cs="仿宋_GB2312" w:eastAsia="仿宋_GB2312"/>
              </w:rPr>
              <w:t>①财务状况报告：提供具有财务审计资质单位出具的2024年或2025年度财务审计报告（成立时间至磋商时间不足一年的可提供成立后任意时段的资产负债表）或响应文件递交截止时间前六个月内其基本账户银行出具的资信证明（附基本账户证明）或政府采购信用担保机构出具的磋商担保函； ②税收缴纳证明：提供响应文件递交截止时间前一年内任意一个月的缴费凭据（依法免税的供应商应提供相关文件证明）； ③社会保障资金缴纳证明：提供响应文件递交截止时间前一年内任意一个月的社保缴费凭据或社保机构开具的社会保险参保缴费情况证明（依法不需要缴纳社会保障资金的供应商应提供相关证明）； 注：按照陕西省财政厅关于进一步优化政府采购营商环境有关事项的通知（陕财办采〔2023〕4号）中对供应商参与政府采购活动建立“承诺+信用管理”的准入管理制度要求，以上①②③三项内容可根据本磋商文件格式要求出具承诺函，成交供应商的承诺函同成交结果一并公示（承诺函格式详见附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履行合同的承诺</w:t>
            </w:r>
          </w:p>
        </w:tc>
        <w:tc>
          <w:tcPr>
            <w:tcW w:type="dxa" w:w="3322"/>
          </w:tcPr>
          <w:p>
            <w:pPr>
              <w:pStyle w:val="null3"/>
            </w:pPr>
            <w:r>
              <w:rPr>
                <w:rFonts w:ascii="仿宋_GB2312" w:hAnsi="仿宋_GB2312" w:cs="仿宋_GB2312" w:eastAsia="仿宋_GB2312"/>
              </w:rPr>
              <w:t>提供具有履行本合同所必需的设备和专业技术能力的说明或承诺</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参与的供应商服务全部由符合政策要求的中小企业承接。本项目所属行业：其他未列明行业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法人授权委托书/法人身份证明书</w:t>
            </w:r>
          </w:p>
        </w:tc>
        <w:tc>
          <w:tcPr>
            <w:tcW w:type="dxa" w:w="3322"/>
          </w:tcPr>
          <w:p>
            <w:pPr>
              <w:pStyle w:val="null3"/>
            </w:pPr>
            <w:r>
              <w:rPr>
                <w:rFonts w:ascii="仿宋_GB2312" w:hAnsi="仿宋_GB2312" w:cs="仿宋_GB2312" w:eastAsia="仿宋_GB2312"/>
              </w:rPr>
              <w:t>法定代表人参与磋商时需提供法定代表人身份证明书（附法定代表人身份证复印件）；被授权人参与磋商时需提供法定代表人授权委托书及法定代表人身份证明书（附法定代表人及被授权人身份证复印件）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磋商保证金交纳凭证</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无控股、管理承诺</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磋商报价只有一个有效报价，未超出最高限价</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满足磋商文件规定</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对服务内容响应程度</w:t>
            </w:r>
          </w:p>
        </w:tc>
        <w:tc>
          <w:tcPr>
            <w:tcW w:type="dxa" w:w="3322"/>
          </w:tcPr>
          <w:p>
            <w:pPr>
              <w:pStyle w:val="null3"/>
            </w:pPr>
            <w:r>
              <w:rPr>
                <w:rFonts w:ascii="仿宋_GB2312" w:hAnsi="仿宋_GB2312" w:cs="仿宋_GB2312" w:eastAsia="仿宋_GB2312"/>
              </w:rPr>
              <w:t>满足磋商文件实质性服务技术及商务要求</w:t>
            </w:r>
          </w:p>
        </w:tc>
        <w:tc>
          <w:tcPr>
            <w:tcW w:type="dxa" w:w="1661"/>
          </w:tcPr>
          <w:p>
            <w:pPr>
              <w:pStyle w:val="null3"/>
            </w:pPr>
            <w:r>
              <w:rPr>
                <w:rFonts w:ascii="仿宋_GB2312" w:hAnsi="仿宋_GB2312" w:cs="仿宋_GB2312" w:eastAsia="仿宋_GB2312"/>
              </w:rPr>
              <w:t>服务内容及服务邀请应答表 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磋商文件要求的其他内容</w:t>
            </w:r>
          </w:p>
        </w:tc>
        <w:tc>
          <w:tcPr>
            <w:tcW w:type="dxa" w:w="3322"/>
          </w:tcPr>
          <w:p>
            <w:pPr>
              <w:pStyle w:val="null3"/>
            </w:pPr>
            <w:r>
              <w:rPr>
                <w:rFonts w:ascii="仿宋_GB2312" w:hAnsi="仿宋_GB2312" w:cs="仿宋_GB2312" w:eastAsia="仿宋_GB2312"/>
              </w:rPr>
              <w:t>承诺书</w:t>
            </w:r>
          </w:p>
        </w:tc>
        <w:tc>
          <w:tcPr>
            <w:tcW w:type="dxa" w:w="1661"/>
          </w:tcPr>
          <w:p>
            <w:pPr>
              <w:pStyle w:val="null3"/>
            </w:pPr>
            <w:r>
              <w:rPr>
                <w:rFonts w:ascii="仿宋_GB2312" w:hAnsi="仿宋_GB2312" w:cs="仿宋_GB2312" w:eastAsia="仿宋_GB2312"/>
              </w:rPr>
              <w:t>供应商承诺书.docx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按照磋商文件要求进行签章</w:t>
            </w:r>
          </w:p>
        </w:tc>
        <w:tc>
          <w:tcPr>
            <w:tcW w:type="dxa" w:w="1661"/>
          </w:tcPr>
          <w:p>
            <w:pPr>
              <w:pStyle w:val="null3"/>
            </w:pPr>
            <w:r>
              <w:rPr>
                <w:rFonts w:ascii="仿宋_GB2312" w:hAnsi="仿宋_GB2312" w:cs="仿宋_GB2312" w:eastAsia="仿宋_GB2312"/>
              </w:rPr>
              <w:t>服务内容及服务邀请应答表 中小企业声明函 商务应答表 报价表 供应商承诺书.docx 响应文件封面 分项报价表.docx 残疾人福利性单位声明函 服务方案 标的清单 供应商资格证明文件.docx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（一）评审内容：①项目实施组织方案；②项目进度合理安排方案；③对项目需求和理解；④垃圾分类宣传思路。 （二）评审标准：每一条评审内容无缺陷得4分，满分16分；每一条评审内容存在一处缺陷扣0.8分，扣完为止；未提供不得分。（说明：存在下列情形之一的属于内容缺陷：①内容与项目服务需求不吻合、层次未细化的；②阐述未从实际出发、不切合项目背景、项目需求的；③存在抄袭或套用其他内容的；④前后逻辑、科学原理或常识错误的；⑤无具体详细的阐述、实施性不强的。）</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宣传活动技术方案</w:t>
            </w:r>
          </w:p>
        </w:tc>
        <w:tc>
          <w:tcPr>
            <w:tcW w:type="dxa" w:w="2492"/>
          </w:tcPr>
          <w:p>
            <w:pPr>
              <w:pStyle w:val="null3"/>
            </w:pPr>
            <w:r>
              <w:rPr>
                <w:rFonts w:ascii="仿宋_GB2312" w:hAnsi="仿宋_GB2312" w:cs="仿宋_GB2312" w:eastAsia="仿宋_GB2312"/>
              </w:rPr>
              <w:t>（一）评审内容：①宣传策划整体方案；②垃圾分类宣传方案；③生活垃圾分类知识专业指导方案；④立体化宣传方案。 （二）评审标准：每一条评审内容无缺陷得4分，满分16分；每一条评审内容存在一处缺陷扣0.8分，扣完为止；未提供不得分。（说明：存在下列情形之一的属于内容缺陷：①内容与项目服务需求不吻合、层次未细化的；②阐述未从实际出发、不切合项目背景、项目需求的；③存在抄袭或套用其他内容的；④前后逻辑、科学原理或常识错误的；⑤无具体详细的阐述、实施性不强的）。</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设备维护方案</w:t>
            </w:r>
          </w:p>
        </w:tc>
        <w:tc>
          <w:tcPr>
            <w:tcW w:type="dxa" w:w="2492"/>
          </w:tcPr>
          <w:p>
            <w:pPr>
              <w:pStyle w:val="null3"/>
            </w:pPr>
            <w:r>
              <w:rPr>
                <w:rFonts w:ascii="仿宋_GB2312" w:hAnsi="仿宋_GB2312" w:cs="仿宋_GB2312" w:eastAsia="仿宋_GB2312"/>
              </w:rPr>
              <w:t>（一）评审内容：①小区内设施设备运行维护方案；②宣传品定期维护；③小区内环境维护方案；④定期维护、更新宣传栏（牌）内容方案。 （二）评审标准：每一条评审内容无缺陷得4分，满分16分；每一条评审内容存在一处缺陷扣0.8分，扣完为止；未提供不得分。（说明：存在下列情形之一的属于内容缺陷：①内容与项目服务需求不吻合、层次未细化的；②阐述未从实际出发、不切合项目背景、项目需求的；③存在抄袭或套用其他内容的；④前后逻辑、科学原理或常识错误的；⑤无具体详细的阐述、实施性不强的）。</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（一）评审内容：①服务质量保障体系；②质量管控要求；③企业内部考核制度。 （二）评审标准：每一条评审内容无缺陷得4分，满分12分；每一条评审内容存在一处缺陷扣0.8分，扣完为止；未提供不得分。（说明：存在下列情形之一的属于内容缺陷：①内容与项目服务需求不吻合、层次未细化的；②阐述未从实际出发、不切合项目背景、项目需求的；③存在抄袭或套用其他内容的；④前后逻辑、科学原理或常识错误的；⑤无具体详细的阐述、实施性不强的）。</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服务保障措施</w:t>
            </w:r>
          </w:p>
        </w:tc>
        <w:tc>
          <w:tcPr>
            <w:tcW w:type="dxa" w:w="2492"/>
          </w:tcPr>
          <w:p>
            <w:pPr>
              <w:pStyle w:val="null3"/>
            </w:pPr>
            <w:r>
              <w:rPr>
                <w:rFonts w:ascii="仿宋_GB2312" w:hAnsi="仿宋_GB2312" w:cs="仿宋_GB2312" w:eastAsia="仿宋_GB2312"/>
              </w:rPr>
              <w:t>（一）评审内容：①服务过程中突发应急保障措施；②安全保障措施；③保障数据记录与分析完整准确的措施。 （二）评审标准：每一条评审内容无缺陷得4分，满分12分；每一条评审内容存在一处缺陷扣0.8分，扣完为止；未提供不得分。（说明：存在下列情形之一的属于内容缺陷：①内容与项目服务需求不吻合、层次未细化的；②阐述未从实际出发、不切合项目背景、项目需求的；③存在抄袭或套用其他内容的；④前后逻辑、科学原理或常识错误的；⑤无具体详细的阐述、实施性不强的）。</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项目人员配备</w:t>
            </w:r>
          </w:p>
        </w:tc>
        <w:tc>
          <w:tcPr>
            <w:tcW w:type="dxa" w:w="2492"/>
          </w:tcPr>
          <w:p>
            <w:pPr>
              <w:pStyle w:val="null3"/>
            </w:pPr>
            <w:r>
              <w:rPr>
                <w:rFonts w:ascii="仿宋_GB2312" w:hAnsi="仿宋_GB2312" w:cs="仿宋_GB2312" w:eastAsia="仿宋_GB2312"/>
              </w:rPr>
              <w:t>项目组人员岗位明确、责任明确，结构合理，每配备一个人员得0.5分，最高得4分。 注：提供人员证明材料复印件，加盖单位公章，否则不得分。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投标人具有近三年（2023年1月至今）的类似业绩（合同扫描件并加盖投标人公章，以合同签订时间为准）每个计1分，最多得4分；未提供不得分。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 投标报价得分=(评标基准价／投标报价)×20%×100。 备注：当评标委员会认为某个投标人的报价明显低于其他通过符合性审查投标人的报价，有可能影响服务质量和不能诚信履约的，应要求该投标人在评标现场合理的时间内提供书面说明，必要时提交相关证明材料；投标人不能证明其报价合理的，评标委员会将其作为无效投标处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详见附件：供应商资格证明文件.docx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