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版本号：ZCSP-临渭区-2026-0007320260414001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临渭区2026年省级林业草原改革发展资金林业草原有害生物防治项目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ZCSP-临渭区-2026-00073</w:t>
      </w:r>
      <w:r>
        <w:br/>
      </w:r>
      <w:r>
        <w:br/>
      </w:r>
      <w:r>
        <w:br/>
      </w:r>
    </w:p>
    <w:p>
      <w:pPr>
        <w:pStyle w:val="null3"/>
        <w:jc w:val="center"/>
        <w:outlineLvl w:val="2"/>
      </w:pPr>
      <w:r>
        <w:rPr>
          <w:rFonts w:ascii="仿宋_GB2312" w:hAnsi="仿宋_GB2312" w:cs="仿宋_GB2312" w:eastAsia="仿宋_GB2312"/>
          <w:sz w:val="28"/>
          <w:b/>
        </w:rPr>
        <w:t>渭南市临渭区林业工作站</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渭南市临渭区林业工作站</w:t>
      </w:r>
      <w:r>
        <w:rPr>
          <w:rFonts w:ascii="仿宋_GB2312" w:hAnsi="仿宋_GB2312" w:cs="仿宋_GB2312" w:eastAsia="仿宋_GB2312"/>
        </w:rPr>
        <w:t>委托，拟对</w:t>
      </w:r>
      <w:r>
        <w:rPr>
          <w:rFonts w:ascii="仿宋_GB2312" w:hAnsi="仿宋_GB2312" w:cs="仿宋_GB2312" w:eastAsia="仿宋_GB2312"/>
        </w:rPr>
        <w:t>临渭区2026年省级林业草原改革发展资金林业草原有害生物防治项目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ZCSP-临渭区-2026-00073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临渭区2026年省级林业草原改革发展资金林业草原有害生物防治项目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坚持“预防为主、治理为要、监管为重”的防控思路，科学精准施策，扎实落实预防监测预警、检疫封锁巡查、除治除害等一系列防控除害措施，强化系统治理和综合施治，筑牢我区秦岭生态安全隔离带，杜绝松材线虫传入我区，有效维护我区30.87万亩的森林资源安全，现对临渭区2026年省级林业草原改革发展资金林业草原有害生物防治服务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采购包1（临渭区2026年省级林业草原改革发展资金林业草原有害生物防治项目）：属于专门面向中小企业采购。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1、法定代表人授权书/法定代表人身份证明：法定代表人参与投标时需提供法定代表人身份证明；被授权人参与投标时需提供法定代表人身份证明及法定代表人授权委托书</w:t>
      </w:r>
    </w:p>
    <w:p>
      <w:pPr>
        <w:pStyle w:val="null3"/>
      </w:pPr>
      <w:r>
        <w:rPr>
          <w:rFonts w:ascii="仿宋_GB2312" w:hAnsi="仿宋_GB2312" w:cs="仿宋_GB2312" w:eastAsia="仿宋_GB2312"/>
        </w:rPr>
        <w:t>2、投标保证金交纳凭证：投标保证金交纳凭证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渭南市临渭区林业工作站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渭南市东风街古依市巷5号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0913-2059010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在标准的基础上下浮55%，按照标准计算结果的45%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渭南市临渭区林业工作站</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渭南市临渭区林业工作站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渭南市临渭区林业工作站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每完成一项工序，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联系人：李绒</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坚持“预防为主、治理为要、监管为重”的防控思路，科学精准施策，扎实落实预防监测预警、检疫封锁巡查、除治除害等一系列防控除害措施，强化系统治理和综合施治，筑牢我区秦岭生态安全隔离带，杜绝松材线虫传入我区，有效维护我区30.87万亩的森林资源安全，现对临渭区2026年省级林业草原改革发展资金林业草原有害生物防治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临渭区2026年省级林业草原改革发展资金林业草原有害生物防治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标的名称：临渭区2026年省级林业草原改革发展资金林业草原有害生物防治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1.服务内容：本项目服务内容主要包括：</w:t>
            </w:r>
          </w:p>
          <w:p>
            <w:pPr>
              <w:pStyle w:val="null3"/>
            </w:pPr>
            <w:r>
              <w:rPr>
                <w:rFonts w:ascii="仿宋_GB2312" w:hAnsi="仿宋_GB2312" w:cs="仿宋_GB2312" w:eastAsia="仿宋_GB2312"/>
              </w:rPr>
              <w:t>（1）松材线虫病防控</w:t>
            </w:r>
          </w:p>
          <w:p>
            <w:pPr>
              <w:pStyle w:val="null3"/>
            </w:pPr>
            <w:r>
              <w:rPr>
                <w:rFonts w:ascii="仿宋_GB2312" w:hAnsi="仿宋_GB2312" w:cs="仿宋_GB2312" w:eastAsia="仿宋_GB2312"/>
              </w:rPr>
              <w:t>采取无人机喷洒化学药剂方式，建设松材线虫防控隔离带0.4万亩。</w:t>
            </w:r>
          </w:p>
          <w:p>
            <w:pPr>
              <w:pStyle w:val="null3"/>
            </w:pPr>
            <w:r>
              <w:rPr>
                <w:rFonts w:ascii="仿宋_GB2312" w:hAnsi="仿宋_GB2312" w:cs="仿宋_GB2312" w:eastAsia="仿宋_GB2312"/>
              </w:rPr>
              <w:t>（2）监测预警</w:t>
            </w:r>
          </w:p>
          <w:p>
            <w:pPr>
              <w:pStyle w:val="null3"/>
            </w:pPr>
            <w:r>
              <w:rPr>
                <w:rFonts w:ascii="仿宋_GB2312" w:hAnsi="仿宋_GB2312" w:cs="仿宋_GB2312" w:eastAsia="仿宋_GB2312"/>
              </w:rPr>
              <w:t>完成全区2.2万亩松林日常巡查监测和专项普查工作，完成钻蛀类害虫调查0.3万亩，架设小蠹虫诱捕器50个，松褐天牛诱捕器50个。</w:t>
            </w:r>
          </w:p>
          <w:p>
            <w:pPr>
              <w:pStyle w:val="null3"/>
            </w:pPr>
            <w:r>
              <w:rPr>
                <w:rFonts w:ascii="仿宋_GB2312" w:hAnsi="仿宋_GB2312" w:cs="仿宋_GB2312" w:eastAsia="仿宋_GB2312"/>
              </w:rPr>
              <w:t>（3）检疫耗材配备</w:t>
            </w:r>
          </w:p>
          <w:p>
            <w:pPr>
              <w:pStyle w:val="null3"/>
            </w:pPr>
            <w:r>
              <w:rPr>
                <w:rFonts w:ascii="仿宋_GB2312" w:hAnsi="仿宋_GB2312" w:cs="仿宋_GB2312" w:eastAsia="仿宋_GB2312"/>
              </w:rPr>
              <w:t>配备松材线虫分子检测试剂6盒及配套耗材，实现松材线虫快速精准检测。</w:t>
            </w:r>
          </w:p>
          <w:p>
            <w:pPr>
              <w:pStyle w:val="null3"/>
            </w:pPr>
            <w:r>
              <w:rPr>
                <w:rFonts w:ascii="仿宋_GB2312" w:hAnsi="仿宋_GB2312" w:cs="仿宋_GB2312" w:eastAsia="仿宋_GB2312"/>
              </w:rPr>
              <w:t>（4）鼠兔害防治</w:t>
            </w:r>
          </w:p>
          <w:p>
            <w:pPr>
              <w:pStyle w:val="null3"/>
            </w:pPr>
            <w:r>
              <w:rPr>
                <w:rFonts w:ascii="仿宋_GB2312" w:hAnsi="仿宋_GB2312" w:cs="仿宋_GB2312" w:eastAsia="仿宋_GB2312"/>
              </w:rPr>
              <w:t>采取营林抚育措施和人工化学药剂相结合的方式，对桥南镇秦阳村鼠兔害危害严重区域进行防治，防治面积0.2万亩。</w:t>
            </w:r>
          </w:p>
          <w:p>
            <w:pPr>
              <w:pStyle w:val="null3"/>
            </w:pPr>
            <w:r>
              <w:rPr>
                <w:rFonts w:ascii="仿宋_GB2312" w:hAnsi="仿宋_GB2312" w:cs="仿宋_GB2312" w:eastAsia="仿宋_GB2312"/>
              </w:rPr>
              <w:t>2.服务具体要求</w:t>
            </w:r>
          </w:p>
          <w:p>
            <w:pPr>
              <w:pStyle w:val="null3"/>
            </w:pPr>
            <w:r>
              <w:rPr>
                <w:rFonts w:ascii="仿宋_GB2312" w:hAnsi="仿宋_GB2312" w:cs="仿宋_GB2312" w:eastAsia="仿宋_GB2312"/>
              </w:rPr>
              <w:t>2.1 松材线虫病防控隔离带建设</w:t>
            </w:r>
          </w:p>
          <w:p>
            <w:pPr>
              <w:pStyle w:val="null3"/>
            </w:pPr>
            <w:r>
              <w:rPr>
                <w:rFonts w:ascii="仿宋_GB2312" w:hAnsi="仿宋_GB2312" w:cs="仿宋_GB2312" w:eastAsia="仿宋_GB2312"/>
              </w:rPr>
              <w:t>2.1.1、无人机喷药防治松褐天牛</w:t>
            </w:r>
          </w:p>
          <w:p>
            <w:pPr>
              <w:pStyle w:val="null3"/>
            </w:pPr>
            <w:r>
              <w:rPr>
                <w:rFonts w:ascii="仿宋_GB2312" w:hAnsi="仿宋_GB2312" w:cs="仿宋_GB2312" w:eastAsia="仿宋_GB2312"/>
              </w:rPr>
              <w:t>以我区松林面积集中的阳郭镇石鼓山村、桥南镇秦阳村为重点，使用无人机对重点区域松林喷洒化学和生物制剂防控松褐天牛，建立生物防控隔离带，并切实加强对媒介昆虫种群动态监测，确保在媒介昆虫的羽化盛期开展防治。</w:t>
            </w:r>
          </w:p>
          <w:p>
            <w:pPr>
              <w:pStyle w:val="null3"/>
            </w:pPr>
            <w:r>
              <w:rPr>
                <w:rFonts w:ascii="仿宋_GB2312" w:hAnsi="仿宋_GB2312" w:cs="仿宋_GB2312" w:eastAsia="仿宋_GB2312"/>
              </w:rPr>
              <w:t>2.1.2、作业地点及面积</w:t>
            </w:r>
          </w:p>
          <w:p>
            <w:pPr>
              <w:pStyle w:val="null3"/>
            </w:pPr>
            <w:r>
              <w:rPr>
                <w:rFonts w:ascii="仿宋_GB2312" w:hAnsi="仿宋_GB2312" w:cs="仿宋_GB2312" w:eastAsia="仿宋_GB2312"/>
              </w:rPr>
              <w:t>临渭区阳郭镇石鼓山村、桥南镇秦阳村松树集中连片分布区域，实施防治作业面积0.4万亩。</w:t>
            </w:r>
          </w:p>
          <w:p>
            <w:pPr>
              <w:pStyle w:val="null3"/>
            </w:pPr>
            <w:r>
              <w:rPr>
                <w:rFonts w:ascii="仿宋_GB2312" w:hAnsi="仿宋_GB2312" w:cs="仿宋_GB2312" w:eastAsia="仿宋_GB2312"/>
              </w:rPr>
              <w:t>2.1.3、作业机型</w:t>
            </w:r>
          </w:p>
          <w:p>
            <w:pPr>
              <w:pStyle w:val="null3"/>
            </w:pPr>
            <w:r>
              <w:rPr>
                <w:rFonts w:ascii="仿宋_GB2312" w:hAnsi="仿宋_GB2312" w:cs="仿宋_GB2312" w:eastAsia="仿宋_GB2312"/>
              </w:rPr>
              <w:t>根据飞防作业区地形地势、林木分布、林分条件和防治作业效果等选择适宜的机型，选用植保无人机喷洒药物防治作业。</w:t>
            </w:r>
          </w:p>
          <w:p>
            <w:pPr>
              <w:pStyle w:val="null3"/>
            </w:pPr>
            <w:r>
              <w:rPr>
                <w:rFonts w:ascii="仿宋_GB2312" w:hAnsi="仿宋_GB2312" w:cs="仿宋_GB2312" w:eastAsia="仿宋_GB2312"/>
              </w:rPr>
              <w:t>2.1.4、使用药品及数量</w:t>
            </w:r>
          </w:p>
          <w:p>
            <w:pPr>
              <w:pStyle w:val="null3"/>
            </w:pPr>
            <w:r>
              <w:rPr>
                <w:rFonts w:ascii="仿宋_GB2312" w:hAnsi="仿宋_GB2312" w:cs="仿宋_GB2312" w:eastAsia="仿宋_GB2312"/>
              </w:rPr>
              <w:t>(1) 3%噻虫啉微囊悬浮剂：100毫升/亩；</w:t>
            </w:r>
          </w:p>
          <w:p>
            <w:pPr>
              <w:pStyle w:val="null3"/>
            </w:pPr>
            <w:r>
              <w:rPr>
                <w:rFonts w:ascii="仿宋_GB2312" w:hAnsi="仿宋_GB2312" w:cs="仿宋_GB2312" w:eastAsia="仿宋_GB2312"/>
              </w:rPr>
              <w:t>(2) 沉降剂为青皮桔油：5毫升/亩。</w:t>
            </w:r>
          </w:p>
          <w:p>
            <w:pPr>
              <w:pStyle w:val="null3"/>
            </w:pPr>
            <w:r>
              <w:rPr>
                <w:rFonts w:ascii="仿宋_GB2312" w:hAnsi="仿宋_GB2312" w:cs="仿宋_GB2312" w:eastAsia="仿宋_GB2312"/>
              </w:rPr>
              <w:t>将噻虫啉微囊悬浮剂和青皮桔油按比例混成悬混迹，用飞机将其喷洒在树干、树冠部。经测算防治作业面积0.4万亩，共需要3%噻虫啉微囊悬浮剂400千克，青皮桔油20千克。农药应选择三证齐全，符合国家标准的农药产品（提供农药三证）。</w:t>
            </w:r>
          </w:p>
          <w:p>
            <w:pPr>
              <w:pStyle w:val="null3"/>
            </w:pPr>
            <w:r>
              <w:rPr>
                <w:rFonts w:ascii="仿宋_GB2312" w:hAnsi="仿宋_GB2312" w:cs="仿宋_GB2312" w:eastAsia="仿宋_GB2312"/>
              </w:rPr>
              <w:t>2.1.5、飞防作业前公告</w:t>
            </w:r>
          </w:p>
          <w:p>
            <w:pPr>
              <w:pStyle w:val="null3"/>
            </w:pPr>
            <w:r>
              <w:rPr>
                <w:rFonts w:ascii="仿宋_GB2312" w:hAnsi="仿宋_GB2312" w:cs="仿宋_GB2312" w:eastAsia="仿宋_GB2312"/>
              </w:rPr>
              <w:t>应于飞防作业前15天，通过广播、电视和张贴通告等形式向飞防区所在乡镇和村、组发出飞防作业安全防护须知，飞防作业期间不得进入作业区放牧，游玩、挖野菜等。提前调查飞防作业区范围内是否有养蚕、养鱼、养蜂和饲养林下动物的企业或农户，提前做好应对处置工作，避免发生意外事件。</w:t>
            </w:r>
          </w:p>
          <w:p>
            <w:pPr>
              <w:pStyle w:val="null3"/>
            </w:pPr>
            <w:r>
              <w:rPr>
                <w:rFonts w:ascii="仿宋_GB2312" w:hAnsi="仿宋_GB2312" w:cs="仿宋_GB2312" w:eastAsia="仿宋_GB2312"/>
              </w:rPr>
              <w:t>2.1.6、飞行作业航高</w:t>
            </w:r>
          </w:p>
          <w:p>
            <w:pPr>
              <w:pStyle w:val="null3"/>
            </w:pPr>
            <w:r>
              <w:rPr>
                <w:rFonts w:ascii="仿宋_GB2312" w:hAnsi="仿宋_GB2312" w:cs="仿宋_GB2312" w:eastAsia="仿宋_GB2312"/>
              </w:rPr>
              <w:t>无人机飞行高度一般要求保持在离树梢5-10米；复杂地形飞行作业高度可适当提高，离树梢不得超过20米，但必须保证作业质量。飞手应该注意有通信塔和高压线的作业区飞行高度。</w:t>
            </w:r>
          </w:p>
          <w:p>
            <w:pPr>
              <w:pStyle w:val="null3"/>
            </w:pPr>
            <w:r>
              <w:rPr>
                <w:rFonts w:ascii="仿宋_GB2312" w:hAnsi="仿宋_GB2312" w:cs="仿宋_GB2312" w:eastAsia="仿宋_GB2312"/>
              </w:rPr>
              <w:t>2.1.7、飞行作业速度及喷幅要求</w:t>
            </w:r>
          </w:p>
          <w:p>
            <w:pPr>
              <w:pStyle w:val="null3"/>
            </w:pPr>
            <w:r>
              <w:rPr>
                <w:rFonts w:ascii="仿宋_GB2312" w:hAnsi="仿宋_GB2312" w:cs="仿宋_GB2312" w:eastAsia="仿宋_GB2312"/>
              </w:rPr>
              <w:t>作业速度3米/秒，喷幅要求为5-10米（视飞行速度、高度、环境进行调整）。</w:t>
            </w:r>
          </w:p>
          <w:p>
            <w:pPr>
              <w:pStyle w:val="null3"/>
            </w:pPr>
            <w:r>
              <w:rPr>
                <w:rFonts w:ascii="仿宋_GB2312" w:hAnsi="仿宋_GB2312" w:cs="仿宋_GB2312" w:eastAsia="仿宋_GB2312"/>
              </w:rPr>
              <w:t>2.2 监测普查</w:t>
            </w:r>
          </w:p>
          <w:p>
            <w:pPr>
              <w:pStyle w:val="null3"/>
            </w:pPr>
            <w:r>
              <w:rPr>
                <w:rFonts w:ascii="仿宋_GB2312" w:hAnsi="仿宋_GB2312" w:cs="仿宋_GB2312" w:eastAsia="仿宋_GB2312"/>
              </w:rPr>
              <w:t>2.2.1、监测普查的范围和任务</w:t>
            </w:r>
          </w:p>
          <w:p>
            <w:pPr>
              <w:pStyle w:val="null3"/>
            </w:pPr>
            <w:r>
              <w:rPr>
                <w:rFonts w:ascii="仿宋_GB2312" w:hAnsi="仿宋_GB2312" w:cs="仿宋_GB2312" w:eastAsia="仿宋_GB2312"/>
              </w:rPr>
              <w:t>（1）监测范围：临渭区内所有松林，包括天然林、人工林及四旁树。重点监测秦岭北麓松林集中区、包括石鼓山、天留山风景区、交通干道沿线、电力通信线路周边、木材加工经营场所及疫区毗邻区域。</w:t>
            </w:r>
          </w:p>
          <w:p>
            <w:pPr>
              <w:pStyle w:val="null3"/>
            </w:pPr>
            <w:r>
              <w:rPr>
                <w:rFonts w:ascii="仿宋_GB2312" w:hAnsi="仿宋_GB2312" w:cs="仿宋_GB2312" w:eastAsia="仿宋_GB2312"/>
              </w:rPr>
              <w:t>（2）监测任务：监测普查总面积2.2万亩134个松林小班，其中油松109个小班1.8682万亩，华山松4个小班0.0437万亩，其他松21个小班0.2884亩。</w:t>
            </w:r>
          </w:p>
          <w:p>
            <w:pPr>
              <w:pStyle w:val="null3"/>
            </w:pPr>
            <w:r>
              <w:rPr>
                <w:rFonts w:ascii="仿宋_GB2312" w:hAnsi="仿宋_GB2312" w:cs="仿宋_GB2312" w:eastAsia="仿宋_GB2312"/>
              </w:rPr>
              <w:t>（3）监测内容：调查区内松树是否出现松树枯死、松针变色等异常情况。</w:t>
            </w:r>
          </w:p>
          <w:p>
            <w:pPr>
              <w:pStyle w:val="null3"/>
            </w:pPr>
            <w:r>
              <w:rPr>
                <w:rFonts w:ascii="仿宋_GB2312" w:hAnsi="仿宋_GB2312" w:cs="仿宋_GB2312" w:eastAsia="仿宋_GB2312"/>
              </w:rPr>
              <w:t>2.2.2、监测普查的时间</w:t>
            </w:r>
          </w:p>
          <w:p>
            <w:pPr>
              <w:pStyle w:val="null3"/>
            </w:pPr>
            <w:r>
              <w:rPr>
                <w:rFonts w:ascii="仿宋_GB2312" w:hAnsi="仿宋_GB2312" w:cs="仿宋_GB2312" w:eastAsia="仿宋_GB2312"/>
              </w:rPr>
              <w:t>（1）日常监测：全年定期巡查，每3个月至少一次监测巡查。</w:t>
            </w:r>
          </w:p>
          <w:p>
            <w:pPr>
              <w:pStyle w:val="null3"/>
            </w:pPr>
            <w:r>
              <w:rPr>
                <w:rFonts w:ascii="仿宋_GB2312" w:hAnsi="仿宋_GB2312" w:cs="仿宋_GB2312" w:eastAsia="仿宋_GB2312"/>
              </w:rPr>
              <w:t>（2）专项普查：秋季普查9-11月。秋季普查是全年重点，需全面细致开展。要以村组、小班为基本单元，对辖区内所有松林进行全面监测普查，要严格执行国家取样鉴定技术标准，查清所有死亡松树的死亡原因，按照相关要求统计病死松树数量、其他松树数量、疫情发生面积、无疫情面积等普查数据，按时逐级报送普查结果。</w:t>
            </w:r>
          </w:p>
          <w:p>
            <w:pPr>
              <w:pStyle w:val="null3"/>
            </w:pPr>
            <w:r>
              <w:rPr>
                <w:rFonts w:ascii="仿宋_GB2312" w:hAnsi="仿宋_GB2312" w:cs="仿宋_GB2312" w:eastAsia="仿宋_GB2312"/>
              </w:rPr>
              <w:t>2.2.3、监测调查方法</w:t>
            </w:r>
          </w:p>
          <w:p>
            <w:pPr>
              <w:pStyle w:val="null3"/>
            </w:pPr>
            <w:r>
              <w:rPr>
                <w:rFonts w:ascii="仿宋_GB2312" w:hAnsi="仿宋_GB2312" w:cs="仿宋_GB2312" w:eastAsia="仿宋_GB2312"/>
              </w:rPr>
              <w:t>（1）踏查：</w:t>
            </w:r>
          </w:p>
          <w:p>
            <w:pPr>
              <w:pStyle w:val="null3"/>
            </w:pPr>
            <w:r>
              <w:rPr>
                <w:rFonts w:ascii="仿宋_GB2312" w:hAnsi="仿宋_GB2312" w:cs="仿宋_GB2312" w:eastAsia="仿宋_GB2312"/>
              </w:rPr>
              <w:t>踏查路线：分别为阳郭镇东骆-吉家村-石鼓山村-磨峪；桥南镇黄狗峪秦阳村；桥南镇小峪寺村东岔-南岔；桥南镇奓峪-天留山；桥南镇清明山-塔山-箭峪以及自行车慢道-关中环线-渭南植物园，共计6条路线。</w:t>
            </w:r>
          </w:p>
          <w:p>
            <w:pPr>
              <w:pStyle w:val="null3"/>
            </w:pPr>
            <w:r>
              <w:rPr>
                <w:rFonts w:ascii="仿宋_GB2312" w:hAnsi="仿宋_GB2312" w:cs="仿宋_GB2312" w:eastAsia="仿宋_GB2312"/>
              </w:rPr>
              <w:t>踏查方法：采取目测或者使用望远镜等方法观测，沿踏査路线调查有无枯死松树，或者出现针叶褪色、黄化、枯萎以及呈红褐色等松针变色症状的松树。一旦发现异常情况，应当立即定位并按要求进行取样鉴定。</w:t>
            </w:r>
          </w:p>
          <w:p>
            <w:pPr>
              <w:pStyle w:val="null3"/>
            </w:pPr>
            <w:r>
              <w:rPr>
                <w:rFonts w:ascii="仿宋_GB2312" w:hAnsi="仿宋_GB2312" w:cs="仿宋_GB2312" w:eastAsia="仿宋_GB2312"/>
              </w:rPr>
              <w:t>（2）无人机巡检：运用无人机对大面积松林监测。发现异常，根据定位信息进行地面调查和取样鉴定。无人机监测适用于人员难以到达区域，监测时间至10月下旬。军事禁区严禁采用无人机监测。</w:t>
            </w:r>
          </w:p>
          <w:p>
            <w:pPr>
              <w:pStyle w:val="null3"/>
            </w:pPr>
            <w:r>
              <w:rPr>
                <w:rFonts w:ascii="仿宋_GB2312" w:hAnsi="仿宋_GB2312" w:cs="仿宋_GB2312" w:eastAsia="仿宋_GB2312"/>
              </w:rPr>
              <w:t>（3）诱捕器调查：用于松材线虫病非发生区林分的监测，严禁在疫情非发生区和发生区的交界区域使用。在媒介昆虫羽化期设置诱捕器引诱媒介昆虫，将诱捕到的媒介昆虫成虫活体在室内剪碎后进行分离鉴定(或者经过培养后鉴定)，确认是否携带松材线虫。一旦发现携带松材线虫，应当立即对设置诱捕器的林分及周边林分进行详查。规划在在自行车慢道关中环线和渭南植物园架设松褐天牛诱捕器50个，小蠹虫诱捕器50个（结合临渭区实际情况进行调整）。</w:t>
            </w:r>
          </w:p>
          <w:p>
            <w:pPr>
              <w:pStyle w:val="null3"/>
            </w:pPr>
            <w:r>
              <w:rPr>
                <w:rFonts w:ascii="仿宋_GB2312" w:hAnsi="仿宋_GB2312" w:cs="仿宋_GB2312" w:eastAsia="仿宋_GB2312"/>
              </w:rPr>
              <w:t>（4）详査：踏查发现枯死松树，以小班为单位进一步详查。详细调查疫情发生地点、寄主种类、发生面积(以小班为单位统计，不能以小班统计发生面积的以实际发生面积统计，四旁松树的发生面积以折算方式统计)、病死松树数量、林分状况，以及传入途径和方式等情况，并对病死松树进行精准定位，绘制疫情分布示意图和疫情小班详图。调査病死树数量时，需将疫情发生小班内的枯死松树、濒死松树一并纳入病死松树进行调查和统计。对普查中发现的频死、枯死松树零星树木，要按照松材线虫病疫木标准处理，认真清理采伐现场，并做好防火期森林火灾预防工作。</w:t>
            </w:r>
          </w:p>
          <w:p>
            <w:pPr>
              <w:pStyle w:val="null3"/>
            </w:pPr>
            <w:r>
              <w:rPr>
                <w:rFonts w:ascii="仿宋_GB2312" w:hAnsi="仿宋_GB2312" w:cs="仿宋_GB2312" w:eastAsia="仿宋_GB2312"/>
              </w:rPr>
              <w:t>2.2.4、成果上报与归档</w:t>
            </w:r>
          </w:p>
          <w:p>
            <w:pPr>
              <w:pStyle w:val="null3"/>
            </w:pPr>
            <w:r>
              <w:rPr>
                <w:rFonts w:ascii="仿宋_GB2312" w:hAnsi="仿宋_GB2312" w:cs="仿宋_GB2312" w:eastAsia="仿宋_GB2312"/>
              </w:rPr>
              <w:t>（1）成果上报：</w:t>
            </w:r>
          </w:p>
          <w:p>
            <w:pPr>
              <w:pStyle w:val="null3"/>
            </w:pPr>
            <w:r>
              <w:rPr>
                <w:rFonts w:ascii="仿宋_GB2312" w:hAnsi="仿宋_GB2312" w:cs="仿宋_GB2312" w:eastAsia="仿宋_GB2312"/>
              </w:rPr>
              <w:t>日常监测和专项普查结束后，及时汇总整理数据，形成普查报告。内容包括普查范围、方法、结果、疫情分析及防控建议等。经林业主管部门审核后，按规定时间和程序上报上级部门。</w:t>
            </w:r>
          </w:p>
          <w:p>
            <w:pPr>
              <w:pStyle w:val="null3"/>
            </w:pPr>
            <w:r>
              <w:rPr>
                <w:rFonts w:ascii="仿宋_GB2312" w:hAnsi="仿宋_GB2312" w:cs="仿宋_GB2312" w:eastAsia="仿宋_GB2312"/>
              </w:rPr>
              <w:t>（2）资料归档：</w:t>
            </w:r>
          </w:p>
          <w:p>
            <w:pPr>
              <w:pStyle w:val="null3"/>
            </w:pPr>
            <w:r>
              <w:rPr>
                <w:rFonts w:ascii="仿宋_GB2312" w:hAnsi="仿宋_GB2312" w:cs="仿宋_GB2312" w:eastAsia="仿宋_GB2312"/>
              </w:rPr>
              <w:t>对普查过程中的外业调查记录、取样送检报告、照片、图表等资料进行整理归档，建立完整的普查档案，为疫情防控和后续研究提供参考。</w:t>
            </w:r>
          </w:p>
          <w:p>
            <w:pPr>
              <w:pStyle w:val="null3"/>
            </w:pPr>
            <w:r>
              <w:rPr>
                <w:rFonts w:ascii="仿宋_GB2312" w:hAnsi="仿宋_GB2312" w:cs="仿宋_GB2312" w:eastAsia="仿宋_GB2312"/>
              </w:rPr>
              <w:t>2.3 检疫耗材配备</w:t>
            </w:r>
          </w:p>
          <w:p>
            <w:pPr>
              <w:pStyle w:val="null3"/>
            </w:pPr>
            <w:r>
              <w:rPr>
                <w:rFonts w:ascii="仿宋_GB2312" w:hAnsi="仿宋_GB2312" w:cs="仿宋_GB2312" w:eastAsia="仿宋_GB2312"/>
              </w:rPr>
              <w:t>为实验室配备松材线虫分子检测试剂盒及配套耗材，实现松材线虫快速精准检测。</w:t>
            </w:r>
          </w:p>
          <w:p>
            <w:pPr>
              <w:pStyle w:val="null3"/>
            </w:pPr>
            <w:r>
              <w:rPr>
                <w:rFonts w:ascii="仿宋_GB2312" w:hAnsi="仿宋_GB2312" w:cs="仿宋_GB2312" w:eastAsia="仿宋_GB2312"/>
              </w:rPr>
              <w:t>2.3.1、试剂选型与配置标准</w:t>
            </w:r>
          </w:p>
          <w:p>
            <w:pPr>
              <w:pStyle w:val="null3"/>
            </w:pPr>
            <w:r>
              <w:rPr>
                <w:rFonts w:ascii="仿宋_GB2312" w:hAnsi="仿宋_GB2312" w:cs="仿宋_GB2312" w:eastAsia="仿宋_GB2312"/>
              </w:rPr>
              <w:t>选用标准需符合GB/T 35342-2017《松材线虫检测 实时荧光PCR法》要求；具备高灵敏度（≤1条线虫/反应）、强特异性（可区分松材线虫与拟松材线虫）；配套完整阳性/阴性对照，便于仪器调试与质量控制；适配基层现有荧光定量PCR仪型号。</w:t>
            </w:r>
          </w:p>
          <w:p>
            <w:pPr>
              <w:pStyle w:val="null3"/>
            </w:pPr>
            <w:r>
              <w:rPr>
                <w:rFonts w:ascii="仿宋_GB2312" w:hAnsi="仿宋_GB2312" w:cs="仿宋_GB2312" w:eastAsia="仿宋_GB2312"/>
              </w:rPr>
              <w:t>2.3.2、配置清单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物资名称</w:t>
                  </w:r>
                </w:p>
              </w:tc>
              <w:tc>
                <w:tcPr>
                  <w:tcW w:type="dxa" w:w="638"/>
                </w:tcPr>
                <w:p>
                  <w:pPr>
                    <w:pStyle w:val="null3"/>
                  </w:pPr>
                  <w:r>
                    <w:rPr>
                      <w:rFonts w:ascii="仿宋_GB2312" w:hAnsi="仿宋_GB2312" w:cs="仿宋_GB2312" w:eastAsia="仿宋_GB2312"/>
                    </w:rPr>
                    <w:t>规格</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用途</w:t>
                  </w:r>
                </w:p>
              </w:tc>
            </w:tr>
            <w:tr>
              <w:tc>
                <w:tcPr>
                  <w:tcW w:type="dxa" w:w="638"/>
                </w:tcPr>
                <w:p>
                  <w:pPr>
                    <w:pStyle w:val="null3"/>
                  </w:pPr>
                  <w:r>
                    <w:rPr>
                      <w:rFonts w:ascii="仿宋_GB2312" w:hAnsi="仿宋_GB2312" w:cs="仿宋_GB2312" w:eastAsia="仿宋_GB2312"/>
                    </w:rPr>
                    <w:t>松材线虫检测试剂盒</w:t>
                  </w:r>
                </w:p>
              </w:tc>
              <w:tc>
                <w:tcPr>
                  <w:tcW w:type="dxa" w:w="638"/>
                </w:tcPr>
                <w:p>
                  <w:pPr>
                    <w:pStyle w:val="null3"/>
                  </w:pPr>
                  <w:r>
                    <w:rPr>
                      <w:rFonts w:ascii="仿宋_GB2312" w:hAnsi="仿宋_GB2312" w:cs="仿宋_GB2312" w:eastAsia="仿宋_GB2312"/>
                    </w:rPr>
                    <w:t>≥96次/盒</w:t>
                  </w:r>
                </w:p>
              </w:tc>
              <w:tc>
                <w:tcPr>
                  <w:tcW w:type="dxa" w:w="638"/>
                </w:tcPr>
                <w:p>
                  <w:pPr>
                    <w:pStyle w:val="null3"/>
                  </w:pPr>
                  <w:r>
                    <w:rPr>
                      <w:rFonts w:ascii="仿宋_GB2312" w:hAnsi="仿宋_GB2312" w:cs="仿宋_GB2312" w:eastAsia="仿宋_GB2312"/>
                    </w:rPr>
                    <w:t>6盒</w:t>
                  </w:r>
                </w:p>
              </w:tc>
              <w:tc>
                <w:tcPr>
                  <w:tcW w:type="dxa" w:w="638"/>
                </w:tcPr>
                <w:p>
                  <w:pPr>
                    <w:pStyle w:val="null3"/>
                  </w:pPr>
                  <w:r>
                    <w:rPr>
                      <w:rFonts w:ascii="仿宋_GB2312" w:hAnsi="仿宋_GB2312" w:cs="仿宋_GB2312" w:eastAsia="仿宋_GB2312"/>
                    </w:rPr>
                    <w:t>松材线虫分子检测</w:t>
                  </w:r>
                </w:p>
              </w:tc>
            </w:tr>
            <w:tr>
              <w:tc>
                <w:tcPr>
                  <w:tcW w:type="dxa" w:w="638"/>
                </w:tcPr>
                <w:p>
                  <w:pPr>
                    <w:pStyle w:val="null3"/>
                  </w:pPr>
                  <w:r>
                    <w:rPr>
                      <w:rFonts w:ascii="仿宋_GB2312" w:hAnsi="仿宋_GB2312" w:cs="仿宋_GB2312" w:eastAsia="仿宋_GB2312"/>
                    </w:rPr>
                    <w:t>配套DNA提取试剂盒</w:t>
                  </w:r>
                </w:p>
              </w:tc>
              <w:tc>
                <w:tcPr>
                  <w:tcW w:type="dxa" w:w="638"/>
                </w:tcPr>
                <w:p>
                  <w:pPr>
                    <w:pStyle w:val="null3"/>
                  </w:pPr>
                  <w:r>
                    <w:rPr>
                      <w:rFonts w:ascii="仿宋_GB2312" w:hAnsi="仿宋_GB2312" w:cs="仿宋_GB2312" w:eastAsia="仿宋_GB2312"/>
                    </w:rPr>
                    <w:t>≥50次/盒</w:t>
                  </w:r>
                </w:p>
              </w:tc>
              <w:tc>
                <w:tcPr>
                  <w:tcW w:type="dxa" w:w="638"/>
                </w:tcPr>
                <w:p>
                  <w:pPr>
                    <w:pStyle w:val="null3"/>
                  </w:pPr>
                  <w:r>
                    <w:rPr>
                      <w:rFonts w:ascii="仿宋_GB2312" w:hAnsi="仿宋_GB2312" w:cs="仿宋_GB2312" w:eastAsia="仿宋_GB2312"/>
                    </w:rPr>
                    <w:t>14盒</w:t>
                  </w:r>
                </w:p>
              </w:tc>
              <w:tc>
                <w:tcPr>
                  <w:tcW w:type="dxa" w:w="638"/>
                </w:tcPr>
                <w:p>
                  <w:pPr>
                    <w:pStyle w:val="null3"/>
                  </w:pPr>
                  <w:r>
                    <w:rPr>
                      <w:rFonts w:ascii="仿宋_GB2312" w:hAnsi="仿宋_GB2312" w:cs="仿宋_GB2312" w:eastAsia="仿宋_GB2312"/>
                    </w:rPr>
                    <w:t>样本DNA快速提取</w:t>
                  </w:r>
                </w:p>
              </w:tc>
            </w:tr>
            <w:tr>
              <w:tc>
                <w:tcPr>
                  <w:tcW w:type="dxa" w:w="638"/>
                </w:tcPr>
                <w:p>
                  <w:pPr>
                    <w:pStyle w:val="null3"/>
                  </w:pPr>
                  <w:r>
                    <w:rPr>
                      <w:rFonts w:ascii="仿宋_GB2312" w:hAnsi="仿宋_GB2312" w:cs="仿宋_GB2312" w:eastAsia="仿宋_GB2312"/>
                    </w:rPr>
                    <w:t>96孔PCR板+光学封膜</w:t>
                  </w:r>
                </w:p>
              </w:tc>
              <w:tc>
                <w:tcPr>
                  <w:tcW w:type="dxa" w:w="638"/>
                </w:tcPr>
                <w:p>
                  <w:pPr>
                    <w:pStyle w:val="null3"/>
                  </w:pPr>
                  <w:r>
                    <w:rPr>
                      <w:rFonts w:ascii="仿宋_GB2312" w:hAnsi="仿宋_GB2312" w:cs="仿宋_GB2312" w:eastAsia="仿宋_GB2312"/>
                    </w:rPr>
                    <w:t>≥10套/包</w:t>
                  </w:r>
                </w:p>
              </w:tc>
              <w:tc>
                <w:tcPr>
                  <w:tcW w:type="dxa" w:w="638"/>
                </w:tcPr>
                <w:p>
                  <w:pPr>
                    <w:pStyle w:val="null3"/>
                  </w:pPr>
                  <w:r>
                    <w:rPr>
                      <w:rFonts w:ascii="仿宋_GB2312" w:hAnsi="仿宋_GB2312" w:cs="仿宋_GB2312" w:eastAsia="仿宋_GB2312"/>
                    </w:rPr>
                    <w:t>14包</w:t>
                  </w:r>
                </w:p>
              </w:tc>
              <w:tc>
                <w:tcPr>
                  <w:tcW w:type="dxa" w:w="638"/>
                </w:tcPr>
                <w:p>
                  <w:pPr>
                    <w:pStyle w:val="null3"/>
                  </w:pPr>
                  <w:r>
                    <w:rPr>
                      <w:rFonts w:ascii="仿宋_GB2312" w:hAnsi="仿宋_GB2312" w:cs="仿宋_GB2312" w:eastAsia="仿宋_GB2312"/>
                    </w:rPr>
                    <w:t>反应体系装载</w:t>
                  </w:r>
                </w:p>
              </w:tc>
            </w:tr>
            <w:tr>
              <w:tc>
                <w:tcPr>
                  <w:tcW w:type="dxa" w:w="638"/>
                </w:tcPr>
                <w:p>
                  <w:pPr>
                    <w:pStyle w:val="null3"/>
                  </w:pPr>
                  <w:r>
                    <w:rPr>
                      <w:rFonts w:ascii="仿宋_GB2312" w:hAnsi="仿宋_GB2312" w:cs="仿宋_GB2312" w:eastAsia="仿宋_GB2312"/>
                    </w:rPr>
                    <w:t>无酶吸头（10μL/100μL/1000μL）</w:t>
                  </w:r>
                </w:p>
              </w:tc>
              <w:tc>
                <w:tcPr>
                  <w:tcW w:type="dxa" w:w="638"/>
                </w:tcPr>
                <w:p>
                  <w:pPr>
                    <w:pStyle w:val="null3"/>
                  </w:pPr>
                  <w:r>
                    <w:rPr>
                      <w:rFonts w:ascii="仿宋_GB2312" w:hAnsi="仿宋_GB2312" w:cs="仿宋_GB2312" w:eastAsia="仿宋_GB2312"/>
                    </w:rPr>
                    <w:t>≥1000支/包</w:t>
                  </w:r>
                </w:p>
              </w:tc>
              <w:tc>
                <w:tcPr>
                  <w:tcW w:type="dxa" w:w="638"/>
                </w:tcPr>
                <w:p>
                  <w:pPr>
                    <w:pStyle w:val="null3"/>
                  </w:pPr>
                  <w:r>
                    <w:rPr>
                      <w:rFonts w:ascii="仿宋_GB2312" w:hAnsi="仿宋_GB2312" w:cs="仿宋_GB2312" w:eastAsia="仿宋_GB2312"/>
                    </w:rPr>
                    <w:t>共计1包</w:t>
                  </w:r>
                </w:p>
              </w:tc>
              <w:tc>
                <w:tcPr>
                  <w:tcW w:type="dxa" w:w="638"/>
                </w:tcPr>
                <w:p>
                  <w:pPr>
                    <w:pStyle w:val="null3"/>
                  </w:pPr>
                  <w:r>
                    <w:rPr>
                      <w:rFonts w:ascii="仿宋_GB2312" w:hAnsi="仿宋_GB2312" w:cs="仿宋_GB2312" w:eastAsia="仿宋_GB2312"/>
                    </w:rPr>
                    <w:t>试剂加样</w:t>
                  </w:r>
                </w:p>
                <w:p>
                  <w:pPr>
                    <w:pStyle w:val="null3"/>
                  </w:pPr>
                  <w:r>
                    <w:rPr>
                      <w:rFonts w:ascii="仿宋_GB2312" w:hAnsi="仿宋_GB2312" w:cs="仿宋_GB2312" w:eastAsia="仿宋_GB2312"/>
                    </w:rPr>
                    <w:t>注：各规格型号具体数量根据采购人实际需求提供</w:t>
                  </w:r>
                </w:p>
              </w:tc>
            </w:tr>
            <w:tr>
              <w:tc>
                <w:tcPr>
                  <w:tcW w:type="dxa" w:w="638"/>
                </w:tcPr>
                <w:p>
                  <w:pPr>
                    <w:pStyle w:val="null3"/>
                  </w:pPr>
                  <w:r>
                    <w:rPr>
                      <w:rFonts w:ascii="仿宋_GB2312" w:hAnsi="仿宋_GB2312" w:cs="仿宋_GB2312" w:eastAsia="仿宋_GB2312"/>
                    </w:rPr>
                    <w:t>无酶离心管（1.5mL/2mL）</w:t>
                  </w:r>
                </w:p>
              </w:tc>
              <w:tc>
                <w:tcPr>
                  <w:tcW w:type="dxa" w:w="638"/>
                </w:tcPr>
                <w:p>
                  <w:pPr>
                    <w:pStyle w:val="null3"/>
                  </w:pPr>
                  <w:r>
                    <w:rPr>
                      <w:rFonts w:ascii="仿宋_GB2312" w:hAnsi="仿宋_GB2312" w:cs="仿宋_GB2312" w:eastAsia="仿宋_GB2312"/>
                    </w:rPr>
                    <w:t>≥1000支/包</w:t>
                  </w:r>
                </w:p>
              </w:tc>
              <w:tc>
                <w:tcPr>
                  <w:tcW w:type="dxa" w:w="638"/>
                </w:tcPr>
                <w:p>
                  <w:pPr>
                    <w:pStyle w:val="null3"/>
                  </w:pPr>
                  <w:r>
                    <w:rPr>
                      <w:rFonts w:ascii="仿宋_GB2312" w:hAnsi="仿宋_GB2312" w:cs="仿宋_GB2312" w:eastAsia="仿宋_GB2312"/>
                    </w:rPr>
                    <w:t>共计1包</w:t>
                  </w:r>
                </w:p>
              </w:tc>
              <w:tc>
                <w:tcPr>
                  <w:tcW w:type="dxa" w:w="638"/>
                </w:tcPr>
                <w:p>
                  <w:pPr>
                    <w:pStyle w:val="null3"/>
                  </w:pPr>
                  <w:r>
                    <w:rPr>
                      <w:rFonts w:ascii="仿宋_GB2312" w:hAnsi="仿宋_GB2312" w:cs="仿宋_GB2312" w:eastAsia="仿宋_GB2312"/>
                    </w:rPr>
                    <w:t>样本保存与处理</w:t>
                  </w:r>
                </w:p>
                <w:p>
                  <w:pPr>
                    <w:pStyle w:val="null3"/>
                  </w:pPr>
                  <w:r>
                    <w:rPr>
                      <w:rFonts w:ascii="仿宋_GB2312" w:hAnsi="仿宋_GB2312" w:cs="仿宋_GB2312" w:eastAsia="仿宋_GB2312"/>
                    </w:rPr>
                    <w:t>注：各规格型号具体数量根据采购人实际需求提供</w:t>
                  </w:r>
                </w:p>
              </w:tc>
            </w:tr>
          </w:tbl>
          <w:p>
            <w:pPr>
              <w:pStyle w:val="null3"/>
            </w:pPr>
            <w:r>
              <w:rPr>
                <w:rFonts w:ascii="仿宋_GB2312" w:hAnsi="仿宋_GB2312" w:cs="仿宋_GB2312" w:eastAsia="仿宋_GB2312"/>
              </w:rPr>
              <w:t>2.4 鼠兔害防治</w:t>
            </w:r>
          </w:p>
          <w:p>
            <w:pPr>
              <w:pStyle w:val="null3"/>
            </w:pPr>
            <w:r>
              <w:rPr>
                <w:rFonts w:ascii="仿宋_GB2312" w:hAnsi="仿宋_GB2312" w:cs="仿宋_GB2312" w:eastAsia="仿宋_GB2312"/>
              </w:rPr>
              <w:t>2.4.1、防治区域</w:t>
            </w:r>
          </w:p>
          <w:p>
            <w:pPr>
              <w:pStyle w:val="null3"/>
            </w:pPr>
            <w:r>
              <w:rPr>
                <w:rFonts w:ascii="仿宋_GB2312" w:hAnsi="仿宋_GB2312" w:cs="仿宋_GB2312" w:eastAsia="仿宋_GB2312"/>
              </w:rPr>
              <w:t>以我区近年新栽植林木面积集中地桥南镇镇秦阳村车河沟、检地沟为重点，该区域近年陆续实施秦岭生态保护修复等项目，新栽植侧柏、白皮松等苗木2000余亩苗木区域，鼠兔啃噬现象较为严重，严重影响林木成活保存，使用无人机施撒高效低毒药物控制鼠兔害种群数量，保护新栽植苗木顺利生长。</w:t>
            </w:r>
          </w:p>
          <w:p>
            <w:pPr>
              <w:pStyle w:val="null3"/>
            </w:pPr>
            <w:r>
              <w:rPr>
                <w:rFonts w:ascii="仿宋_GB2312" w:hAnsi="仿宋_GB2312" w:cs="仿宋_GB2312" w:eastAsia="仿宋_GB2312"/>
              </w:rPr>
              <w:t>2.4.2、作业地点及面积</w:t>
            </w:r>
          </w:p>
          <w:p>
            <w:pPr>
              <w:pStyle w:val="null3"/>
            </w:pPr>
            <w:r>
              <w:rPr>
                <w:rFonts w:ascii="仿宋_GB2312" w:hAnsi="仿宋_GB2312" w:cs="仿宋_GB2312" w:eastAsia="仿宋_GB2312"/>
              </w:rPr>
              <w:t>临渭区桥南镇秦阳村车河沟、检地沟，实施防治作业面积0.2万亩。</w:t>
            </w:r>
          </w:p>
          <w:p>
            <w:pPr>
              <w:pStyle w:val="null3"/>
            </w:pPr>
            <w:r>
              <w:rPr>
                <w:rFonts w:ascii="仿宋_GB2312" w:hAnsi="仿宋_GB2312" w:cs="仿宋_GB2312" w:eastAsia="仿宋_GB2312"/>
              </w:rPr>
              <w:t>2.4.3、作业机型</w:t>
            </w:r>
          </w:p>
          <w:p>
            <w:pPr>
              <w:pStyle w:val="null3"/>
            </w:pPr>
            <w:r>
              <w:rPr>
                <w:rFonts w:ascii="仿宋_GB2312" w:hAnsi="仿宋_GB2312" w:cs="仿宋_GB2312" w:eastAsia="仿宋_GB2312"/>
              </w:rPr>
              <w:t>车河沟、检地沟作业区地处秦岭浅山区，林灌草混杂，地势较为陡峭，选用植保无人机喷洒药物防治作业。</w:t>
            </w:r>
          </w:p>
          <w:p>
            <w:pPr>
              <w:pStyle w:val="null3"/>
            </w:pPr>
            <w:r>
              <w:rPr>
                <w:rFonts w:ascii="仿宋_GB2312" w:hAnsi="仿宋_GB2312" w:cs="仿宋_GB2312" w:eastAsia="仿宋_GB2312"/>
              </w:rPr>
              <w:t>2.4.4、使用药品及数量</w:t>
            </w:r>
          </w:p>
          <w:p>
            <w:pPr>
              <w:pStyle w:val="null3"/>
            </w:pPr>
            <w:r>
              <w:rPr>
                <w:rFonts w:ascii="仿宋_GB2312" w:hAnsi="仿宋_GB2312" w:cs="仿宋_GB2312" w:eastAsia="仿宋_GB2312"/>
              </w:rPr>
              <w:t>雷公藤甲素：200克/亩；</w:t>
            </w:r>
          </w:p>
          <w:p>
            <w:pPr>
              <w:pStyle w:val="null3"/>
            </w:pPr>
            <w:r>
              <w:rPr>
                <w:rFonts w:ascii="仿宋_GB2312" w:hAnsi="仿宋_GB2312" w:cs="仿宋_GB2312" w:eastAsia="仿宋_GB2312"/>
              </w:rPr>
              <w:t>无人机投放按照每亩200克进行均匀喷洒作业防治。经测算防治作业面积0.2万亩，共需要雷公藤甲素400千克。农药应选择三证齐全，符合国家标准的农药产品（提供农药三证）。</w:t>
            </w:r>
          </w:p>
          <w:p>
            <w:pPr>
              <w:pStyle w:val="null3"/>
            </w:pPr>
            <w:r>
              <w:rPr>
                <w:rFonts w:ascii="仿宋_GB2312" w:hAnsi="仿宋_GB2312" w:cs="仿宋_GB2312" w:eastAsia="仿宋_GB2312"/>
              </w:rPr>
              <w:t>2.4.5、作业前公告</w:t>
            </w:r>
          </w:p>
          <w:p>
            <w:pPr>
              <w:pStyle w:val="null3"/>
            </w:pPr>
            <w:r>
              <w:rPr>
                <w:rFonts w:ascii="仿宋_GB2312" w:hAnsi="仿宋_GB2312" w:cs="仿宋_GB2312" w:eastAsia="仿宋_GB2312"/>
              </w:rPr>
              <w:t>应于作业前15天，通过广播、电视和张贴通告等形式向防治区所在乡镇和村、组发出作业安全防护须知，作业期间不得进入作业区放牧，游玩、挖野菜等，避免发生意外事件。无人机进行撒药防治严格按照无人机喷洒药物标准进行作业。</w:t>
            </w:r>
          </w:p>
          <w:p>
            <w:pPr>
              <w:pStyle w:val="null3"/>
            </w:pPr>
            <w:r>
              <w:rPr>
                <w:rFonts w:ascii="仿宋_GB2312" w:hAnsi="仿宋_GB2312" w:cs="仿宋_GB2312" w:eastAsia="仿宋_GB2312"/>
              </w:rPr>
              <w:t>具体服务内容及要求以项目实施方案为准。</w:t>
            </w:r>
          </w:p>
          <w:p>
            <w:pPr>
              <w:pStyle w:val="null3"/>
            </w:pPr>
            <w:r>
              <w:rPr>
                <w:rFonts w:ascii="仿宋_GB2312" w:hAnsi="仿宋_GB2312" w:cs="仿宋_GB2312" w:eastAsia="仿宋_GB2312"/>
              </w:rPr>
              <w:t>3.其他要求</w:t>
            </w:r>
          </w:p>
          <w:p>
            <w:pPr>
              <w:pStyle w:val="null3"/>
            </w:pPr>
            <w:r>
              <w:rPr>
                <w:rFonts w:ascii="仿宋_GB2312" w:hAnsi="仿宋_GB2312" w:cs="仿宋_GB2312" w:eastAsia="仿宋_GB2312"/>
              </w:rPr>
              <w:t>3.1、在服务范围内按工作内容和要求制定详细的方案，方案科学、合理、可靠。</w:t>
            </w:r>
          </w:p>
          <w:p>
            <w:pPr>
              <w:pStyle w:val="null3"/>
            </w:pPr>
            <w:r>
              <w:rPr>
                <w:rFonts w:ascii="仿宋_GB2312" w:hAnsi="仿宋_GB2312" w:cs="仿宋_GB2312" w:eastAsia="仿宋_GB2312"/>
              </w:rPr>
              <w:t>3.2、人员配备合理。有针对本项目的专项服务小组，项目负责人、工作人员分工明确（应有具体成员名单，包括姓名、工作职责等）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3.3、有各类突发事件的应急预案和措施，有明确具体的承诺。</w:t>
            </w:r>
          </w:p>
          <w:p>
            <w:pPr>
              <w:pStyle w:val="null3"/>
            </w:pPr>
            <w:r>
              <w:rPr>
                <w:rFonts w:ascii="仿宋_GB2312" w:hAnsi="仿宋_GB2312" w:cs="仿宋_GB2312" w:eastAsia="仿宋_GB2312"/>
              </w:rPr>
              <w:t>3.4、供应商所拟派的工作人员，若在服务期间发生任何伤害，采购人概不负责，由供应商自行处理。</w:t>
            </w:r>
          </w:p>
          <w:p>
            <w:pPr>
              <w:pStyle w:val="null3"/>
            </w:pPr>
            <w:r>
              <w:rPr>
                <w:rFonts w:ascii="仿宋_GB2312" w:hAnsi="仿宋_GB2312" w:cs="仿宋_GB2312" w:eastAsia="仿宋_GB2312"/>
              </w:rPr>
              <w:t>3.5、服务质量：符合国家行业现行技术标准并达到合格。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人员配备合理。有针对本项目的专项服务小组，项目负责人、工作人员分工明确（应有具体成员名单，包括姓名、工作职责等）。</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供应商在服务过程中必须达到下述标准、规范（不限于）：《中华人民共和国森林法》2019年12月修订版； 《中华人民共和国环境保护法》2014年4月修订版； 《森林病虫害防治条例》2026年1月修订 《植物检疫条例》2017年10月修订版； 《陕西省秦岭生态环境保护条例》2019年9月修订版； 《陕西省林业有害生物防治检疫条例》2020年9月。 《药品管理法实施条例》2019年修订版 《中华人民共和国野生植物保护条例》2017年10月修订版； 《林业草原检疫性有害生物调查总则》GB/T23617-2009; 《林业草原植物及其产品调运检疫技术规程》GB/T23473-2009； 《林业草原检疫性害虫除害处理技术规程》GB/T26420-2010； 《林业有害生物监测预报技术规程》 LY/T 2516-2015 《林业草原植物产地检疫技术规程》 LY/T 1829-2020 《林业有害生物防治工程项目建设标准》； 《松材线虫病防治技术方案》（林生发〔2024〕78号）； 《松材线虫病普查检测技术规程》GB/T23478-2009； 《松材线虫病检疫技术规程》GB/T23476-2009； 陕西省人民政府办公厅《关于进一步加强松材线虫病防控工作的通知》（陕政办发〔2017〕47 号） 《陕西省省级林业草原改革发展资金管理办法》 渭南市林业局《关于下达2026年省级林业草原改革发展资金计划的通知》（渭林发〔2026〕20号）； 渭南市林业局《关于印发〈渭南市松材线虫病综合防控方案〉的通知》（渭林防指发〔2026〕1号）。 渭南市林业局《关于印发〈渭南市林业项目建设与资金管理办法〉的通知》（渭林发〔2023〕83号）。 《临渭区重大林业有害生物灾害应急预案》 《临渭区2026年省级林业草原改革发展资金林业草原有害生物防治项目实施方案》。 其它国家、行业、地方现行执行规范、规程、标准。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自合同签订之日起至2026年11月20日前完成全部项目内容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渭南市临渭区秦岭北麓松林集中区及渭南植物园，涉及桥南镇、阳郭镇、三张镇和花园国有林场。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每完成一项工序，须向采购人提出申请，经采购人负责人员验收合格后，方可进行下一道工序工作。供应商全面完成项目建设任务后单位要及时组织自查，并向采购人提交自查报告，采购人对自查报告进行审核，审核内容包括：实施方案执行、任务完成情况、施工作业质量、资金使用情况及项目成效、存在问题与建议等。 2.本项目由采购人及相关部门定期对项目进行阶段性验收。 3.验收标准：按招标文件、投标文件及澄清函、项目检查情况等综合指标进行验收，各项指标均应符合验收标准及要求。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采购人根据项目进度支付项目进度款，项目服务内容全部完成且验收合格后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版文件要求：中标（成交）供应商在中标（成交）结果公告发布后3个工作日内提供叁套纸质投标文件（经编标工具生成的文件直接打印并加盖公章），递交的纸质版文件内容确保与线上电子文件保持一致，不允许修改和补充；（2）根据《政府采购法实施条例》释义，银行、保险、石油石化、电力、电信等有行业特殊情况的，允许法人的分支机构参加政府采购活动；（3）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供应商需提供合法有效，具有独立承担民事责任的能力且具备向采购人提供相关服务的证明资料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w:t>
            </w:r>
          </w:p>
        </w:tc>
        <w:tc>
          <w:tcPr>
            <w:tcW w:type="dxa" w:w="3322"/>
          </w:tcPr>
          <w:p>
            <w:pPr>
              <w:pStyle w:val="null3"/>
            </w:pPr>
            <w:r>
              <w:rPr>
                <w:rFonts w:ascii="仿宋_GB2312" w:hAnsi="仿宋_GB2312" w:cs="仿宋_GB2312" w:eastAsia="仿宋_GB2312"/>
              </w:rPr>
              <w:t>财务状况报告：提供具有财务审计资质单位出具的2024年度或2025年度财务审计报告（成立时间至开标时间不足一年的可提供成立后任意时段的资产负债表）或投标文件截止时间前六个月内其基本账户银行出具的资信证明（附基本账户证明）或政府采购信用担保机构出具的投标担保函； 税收缴纳证明：提供投标文件递交截止时间前一年内任意一个月的缴费凭据；依法免税的应提供相关文件证明； 社会保障资金缴纳证明：提供投标文件递交截止时间前一年内任意一个月的社保缴费凭据或社保机构开具的社会保险参保缴费情况证明；依法不需要缴纳社会保障资金的供应商应提供相关文件证明； 注：按照陕西省财政厅关于进一步优化政府采购营商环境有关事项的通知（陕财办采〔2023〕4号）中对供应商参与政府采购活动建立“承诺+信用管理”的准入管理制度要求，以上三项内容可根据本招标文件格式要求出具承诺书，中标供应商的承诺书同中标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法定代表人参与投标时需提供法定代表人身份证明；被授权人参与投标时需提供法定代表人身份证明及法定代表人授权委托书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投标保证金交纳凭证</w:t>
            </w:r>
          </w:p>
        </w:tc>
        <w:tc>
          <w:tcPr>
            <w:tcW w:type="dxa" w:w="3322"/>
          </w:tcPr>
          <w:p>
            <w:pPr>
              <w:pStyle w:val="null3"/>
            </w:pPr>
            <w:r>
              <w:rPr>
                <w:rFonts w:ascii="仿宋_GB2312" w:hAnsi="仿宋_GB2312" w:cs="仿宋_GB2312" w:eastAsia="仿宋_GB2312"/>
              </w:rPr>
              <w:t>投标保证金交纳凭证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本项目专门面向中小企业采购，所属行业：农、林、牧、渔业。参与的供应商服务全部由符合政策要求的中小企业承接。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应满足招标文件中要求的服务期限</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服务内容及服务邀请应答表 供应商其它资料.docx 中小企业声明函 商务应答表 资格证明文件.docx 政府采购供应商拒绝政府采购领域商业贿赂承诺书.docx 分项报价表.docx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满足招标文件实质性服务技术及商务要求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无其他作无效投标处理的情况</w:t>
            </w:r>
          </w:p>
        </w:tc>
        <w:tc>
          <w:tcPr>
            <w:tcW w:type="dxa" w:w="1661"/>
          </w:tcPr>
          <w:p>
            <w:pPr>
              <w:pStyle w:val="null3"/>
            </w:pPr>
            <w:r>
              <w:rPr>
                <w:rFonts w:ascii="仿宋_GB2312" w:hAnsi="仿宋_GB2312" w:cs="仿宋_GB2312" w:eastAsia="仿宋_GB2312"/>
              </w:rPr>
              <w:t>开标一览表 服务内容及服务邀请应答表 供应商其它资料.docx 中小企业声明函 商务应答表 资格证明文件.docx 政府采购供应商拒绝政府采购领域商业贿赂承诺书.docx 分项报价表.docx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服务目标。（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实施计划；②作业方法；③技术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（一）评审内容：质量保证包含：①质量管控要求；②质量保障体系；③质量保障措施。（二）评审标准： 每项评审内容不存在缺陷得3分；每项评审内容每存在一处缺陷的扣0.6分，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 应急处理包含：①在服务过程中出现突发问题的应急处置方案；②应急响应时间；③出现突发状况应急人员及设施设备安排。（二） 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资料管理</w:t>
            </w:r>
          </w:p>
        </w:tc>
        <w:tc>
          <w:tcPr>
            <w:tcW w:type="dxa" w:w="2492"/>
          </w:tcPr>
          <w:p>
            <w:pPr>
              <w:pStyle w:val="null3"/>
            </w:pPr>
            <w:r>
              <w:rPr>
                <w:rFonts w:ascii="仿宋_GB2312" w:hAnsi="仿宋_GB2312" w:cs="仿宋_GB2312" w:eastAsia="仿宋_GB2312"/>
              </w:rPr>
              <w:t>（一）评审内容：资料管理包含①资料管理方案；②资料备份措施；（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拟派项目负责人具有林业类相关专业高级证书得2分；具有林业类相关专业中级证书得1分。提供人员专业技术能力证明材料，未提供不得分。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项目其他人员配备</w:t>
            </w:r>
          </w:p>
        </w:tc>
        <w:tc>
          <w:tcPr>
            <w:tcW w:type="dxa" w:w="2492"/>
          </w:tcPr>
          <w:p>
            <w:pPr>
              <w:pStyle w:val="null3"/>
            </w:pPr>
            <w:r>
              <w:rPr>
                <w:rFonts w:ascii="仿宋_GB2312" w:hAnsi="仿宋_GB2312" w:cs="仿宋_GB2312" w:eastAsia="仿宋_GB2312"/>
              </w:rPr>
              <w:t>1.项目组人员中（项目负责人除外）每具有一个林业方面专业技术人员得1分，本项最高得4分。 2.项目组人员中（项目负责人除外），每有1名持有无人机操作证书人员得1分，本项最高得3分。 提供人员相关证明材料，未提供不得分。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投标人具有近三年（2023年1月至今）的类似业绩（合同扫描件并加盖投标人公章，以合同签订时间为准）每个计1分，最多得5分；未提供不得分。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满足招标文件要求且最后投标总报价最低的投标人的价格为基准价得20分，其他各投标人的最后报价得分按下列公式计算： 投标报价得分=（投标基准价/最后投标报价）×20%×100。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