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版本号：ZCSP-临渭区-2026-0007520260417001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临渭区2026年提前批省市财政常态化帮扶资金基础设施建设项目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ZCSP-临渭区-2026-00075</w:t>
      </w:r>
      <w:r>
        <w:br/>
      </w:r>
      <w:r>
        <w:br/>
      </w:r>
      <w:r>
        <w:br/>
      </w:r>
    </w:p>
    <w:p>
      <w:pPr>
        <w:pStyle w:val="null3"/>
        <w:jc w:val="center"/>
        <w:outlineLvl w:val="2"/>
      </w:pPr>
      <w:r>
        <w:rPr>
          <w:rFonts w:ascii="仿宋_GB2312" w:hAnsi="仿宋_GB2312" w:cs="仿宋_GB2312" w:eastAsia="仿宋_GB2312"/>
          <w:sz w:val="28"/>
          <w:b/>
        </w:rPr>
        <w:t>渭南市临渭区农业农村局</w:t>
      </w:r>
    </w:p>
    <w:p>
      <w:pPr>
        <w:pStyle w:val="null3"/>
        <w:jc w:val="center"/>
        <w:outlineLvl w:val="2"/>
      </w:pPr>
      <w:r>
        <w:rPr>
          <w:rFonts w:ascii="仿宋_GB2312" w:hAnsi="仿宋_GB2312" w:cs="仿宋_GB2312" w:eastAsia="仿宋_GB2312"/>
          <w:sz w:val="28"/>
          <w:b/>
        </w:rPr>
        <w:t>陕西嘉信至诚项目管理有限公司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渭南市临渭区农业农村局</w:t>
      </w:r>
      <w:r>
        <w:rPr>
          <w:rFonts w:ascii="仿宋_GB2312" w:hAnsi="仿宋_GB2312" w:cs="仿宋_GB2312" w:eastAsia="仿宋_GB2312"/>
        </w:rPr>
        <w:t>委托，拟对</w:t>
      </w:r>
      <w:r>
        <w:rPr>
          <w:rFonts w:ascii="仿宋_GB2312" w:hAnsi="仿宋_GB2312" w:cs="仿宋_GB2312" w:eastAsia="仿宋_GB2312"/>
        </w:rPr>
        <w:t>临渭区2026年提前批省市财政常态化帮扶资金基础设施建设项目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ZCSP-临渭区-2026-00075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临渭区2026年提前批省市财政常态化帮扶资金基础设施建设项目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本项目是对临渭区2街镇3个村的基础设施项目进行建设，新建排水管网、检查井、载流井，并恢复破损路面等。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采购包1（临渭区2026年提前批省市财政常态化帮扶资金基础设施建设项目施工一标段）：属于专门面向中小企业采购。</w:t>
      </w:r>
    </w:p>
    <w:p>
      <w:pPr>
        <w:pStyle w:val="null3"/>
      </w:pPr>
      <w:r>
        <w:rPr>
          <w:rFonts w:ascii="仿宋_GB2312" w:hAnsi="仿宋_GB2312" w:cs="仿宋_GB2312" w:eastAsia="仿宋_GB2312"/>
        </w:rPr>
        <w:t>采购包2（临渭区2026年提前批省市财政常态化帮扶资金基础设施建设项目施工二标段）：属于专门面向中小企业采购。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1、资质要求：供应商须具备市政公用工程施工总承包三级（含三级）及以上资质，并具有有效的安全生产许可证；</w:t>
      </w:r>
    </w:p>
    <w:p>
      <w:pPr>
        <w:pStyle w:val="null3"/>
      </w:pPr>
      <w:r>
        <w:rPr>
          <w:rFonts w:ascii="仿宋_GB2312" w:hAnsi="仿宋_GB2312" w:cs="仿宋_GB2312" w:eastAsia="仿宋_GB2312"/>
        </w:rPr>
        <w:t>2、项目经理：拟派项目经理须具有市政公用工程二级及以上注册建造师资格并具有有效的安全生产考核合格证（建安B证），且无在建工程；</w:t>
      </w:r>
    </w:p>
    <w:p>
      <w:pPr>
        <w:pStyle w:val="null3"/>
      </w:pPr>
      <w:r>
        <w:rPr>
          <w:rFonts w:ascii="仿宋_GB2312" w:hAnsi="仿宋_GB2312" w:cs="仿宋_GB2312" w:eastAsia="仿宋_GB2312"/>
        </w:rPr>
        <w:t>3、法定代表人身份证明书/授权委托书：法定代表人参与磋商时需提供法定代表人身份证明书；被授权人参与磋商时需提供法定代表人身份证明书及法定代表人授权委托书；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4、磋商保证金交纳凭证：磋商保证金交纳凭证；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1、资质要求：供应商须具备市政公用工程施工总承包三级（含三级）及以上资质，并具有有效的安全生产许可证；</w:t>
      </w:r>
    </w:p>
    <w:p>
      <w:pPr>
        <w:pStyle w:val="null3"/>
      </w:pPr>
      <w:r>
        <w:rPr>
          <w:rFonts w:ascii="仿宋_GB2312" w:hAnsi="仿宋_GB2312" w:cs="仿宋_GB2312" w:eastAsia="仿宋_GB2312"/>
        </w:rPr>
        <w:t>2、项目经理：拟派项目经理须具有市政公用工程二级及以上注册建造师资格并具有有效的安全生产考核合格证（建安B证），且无在建工程；</w:t>
      </w:r>
    </w:p>
    <w:p>
      <w:pPr>
        <w:pStyle w:val="null3"/>
      </w:pPr>
      <w:r>
        <w:rPr>
          <w:rFonts w:ascii="仿宋_GB2312" w:hAnsi="仿宋_GB2312" w:cs="仿宋_GB2312" w:eastAsia="仿宋_GB2312"/>
        </w:rPr>
        <w:t>3、法定代表人身份证明书/授权委托书：法定代表人参与磋商时需提供法定代表人身份证明书；被授权人参与磋商时需提供法定代表人身份证明书及法定代表人授权委托书；</w:t>
      </w:r>
    </w:p>
    <w:p>
      <w:pPr>
        <w:pStyle w:val="null3"/>
      </w:pPr>
      <w:r>
        <w:rPr>
          <w:rFonts w:ascii="仿宋_GB2312" w:hAnsi="仿宋_GB2312" w:cs="仿宋_GB2312" w:eastAsia="仿宋_GB2312"/>
        </w:rPr>
        <w:t>4、磋商保证金交纳凭证：磋商保证金交纳凭证；</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渭南市临渭区东风大街83号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0913-3039167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陕西省渭南市临渭区解放路与双王街十字东南角商贸楼三楼东侧（槐衙曦和公馆南门斜对面）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刘仁杰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采购包1：1,810,800.00元</w:t>
            </w:r>
          </w:p>
          <w:p>
            <w:pPr>
              <w:pStyle w:val="null3"/>
            </w:pPr>
            <w:r>
              <w:rPr>
                <w:rFonts w:ascii="仿宋_GB2312" w:hAnsi="仿宋_GB2312" w:cs="仿宋_GB2312" w:eastAsia="仿宋_GB2312"/>
              </w:rPr>
              <w:t>采购包2：1,174,000.00元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渭南市临渭区农业农村局</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达到履约验收合格标准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达到履约验收合格标准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联系人：刘仁杰</w:t>
      </w:r>
    </w:p>
    <w:p>
      <w:pPr>
        <w:pStyle w:val="null3"/>
      </w:pPr>
      <w:r>
        <w:rPr>
          <w:rFonts w:ascii="仿宋_GB2312" w:hAnsi="仿宋_GB2312" w:cs="仿宋_GB2312" w:eastAsia="仿宋_GB2312"/>
        </w:rPr>
        <w:t>联系电话：0913-2130688</w:t>
      </w:r>
    </w:p>
    <w:p>
      <w:pPr>
        <w:pStyle w:val="null3"/>
      </w:pPr>
      <w:r>
        <w:rPr>
          <w:rFonts w:ascii="仿宋_GB2312" w:hAnsi="仿宋_GB2312" w:cs="仿宋_GB2312" w:eastAsia="仿宋_GB2312"/>
        </w:rPr>
        <w:t>地址：陕西省渭南市临渭区解放路与双王街十字东南角商贸楼三楼东侧（槐衙曦和公馆南门斜对面）</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1,810,800.00</w:t>
      </w:r>
    </w:p>
    <w:p>
      <w:pPr>
        <w:pStyle w:val="null3"/>
      </w:pPr>
      <w:r>
        <w:rPr>
          <w:rFonts w:ascii="仿宋_GB2312" w:hAnsi="仿宋_GB2312" w:cs="仿宋_GB2312" w:eastAsia="仿宋_GB2312"/>
        </w:rPr>
        <w:t>采购包最高限价（元）: 1,810,800.00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临渭区2026年提前批省市财政常态化帮扶资金基础设施建设项目施工一标段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1,810,800.00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1,174,000.00</w:t>
      </w:r>
    </w:p>
    <w:p>
      <w:pPr>
        <w:pStyle w:val="null3"/>
      </w:pPr>
      <w:r>
        <w:rPr>
          <w:rFonts w:ascii="仿宋_GB2312" w:hAnsi="仿宋_GB2312" w:cs="仿宋_GB2312" w:eastAsia="仿宋_GB2312"/>
        </w:rPr>
        <w:t>采购包最高限价（元）: 1,174,000.00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临渭区2026年提前批省市财政常态化帮扶资金基础设施建设项目施工二标段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1,174,000.00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标的名称：临渭区2026年提前批省市财政常态化帮扶资金基础设施建设项目施工一标段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本项目是对临渭区故市镇东屯村的基础设施项目进行建设，新建排水管网、检查井、载流井，并恢复破损路面等。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标的名称：临渭区2026年提前批省市财政常态化帮扶资金基础设施建设项目施工二标段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本项目是对临渭区交斜镇新果村、光新村的基础设施项目进行建设，新建排水管网、检查井、载流井，并恢复破损路面等。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中华人民共和国安全生产法》(2002年11月1日起实施)；《施工现场临时用电安全技术规范》（JGJ46-88）《建设工程施工现场供用电安全规范》（GB 50194-93）《建设施工安全检查标准》（JGJ59-99）《建筑与市政工程施工质量控制通用规范》（GB 55032-2022）《建筑与市政工程无障碍通用规范》（GB 55019-2021）《建筑与市政地基基础通用规范》（GB55003-2021）《给水排水管道工程施工与质量验收规范》（GB 50268-2008）《给水排水构筑物工程施工及验收规范》（GB 50141-2008）《给水用聚乙烯PE管材》(GB136631-2000)《混凝土结构工程施工质量验收规范》（GB50204-2015）；其他相关的国家现行有关设计规范、规程和地方法规、标准。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针对本项目的施工，必须达到国家及行业现行技术规范标准，符合国家及行业验收合格标准：《中华人民共和国安全生产法》(2002年11月1日起实施)；《施工现场临时用电安全技术规范》（JGJ46-88）《建设工程施工现场供用电安全规范》（GB 50194-93）《建设施工安全检查标准》（JGJ59-99）《建筑与市政工程施工质量控制通用规范》（GB 55032-2022）《建筑与市政工程无障碍通用规范》（GB 55019-2021）《建筑与市政地基基础通用规范》（GB55003-2021）《给水排水管道工程施工与质量验收规范》（GB 50268-2008）《给水排水构筑物工程施工及验收规范》（GB 50141-2008）《给水用聚乙烯PE管材》(GB136631-2000)《混凝土结构工程施工质量验收规范》（GB50204-2015）；其他相关的国家现行有关设计规范、规程和地方法规、标准。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商务响应：①工期：120日历天；②质量标准：合格，达到国家现行技术标准；③工程地点：施工一标段：故市镇东屯村；施工二标段：交斜镇新果村、光新村；④付款方式：本工程付款依据工程进度情况按比例将进度应付款支付给供应商。合同签订后，拨付合同总金额的40%作为预付款。工程完工后，经监理人审核，采购人同意后，累计付款比例达到合同总价的90%；审计部门对项目进行工程结算审计后，采购人根据审计结果，支付剩余工程款。⑤合同条款：具体详见合同附件；⑥技术、服务标准和要求：具体详见本章“3.1技术、服务标准和要求”；⑦质保期：按照《建设工程质量管理条例》及有关规定执行，质量保修期自工程竣工验收合格之日起计算。 2、本项目担任项目经理的建造师、项目技术负责人、施工员、专职安全员、质量员、材料员等施工现场关键岗位人员，必须与投标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3、中标（成交）供应商在中标（成交）结果公告发布后3个工作日内提供叁套纸质投标文件（经编标工具生成的文件直接打印），递交的纸质版文件内容确保与线上电子文件保持一致，不允许修改和补充。4、成交供应商应在磋商会议结束后3日内向采购人提交最终版《工程量清单表》，供应商最终版《工程量清单表》中的总报价应与最终磋商总报价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施工一标段供应商资格证明文件.docx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2024年度或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税收缴纳证明：提供响应文件递交截止时间前一年内任意一个月的缴费凭据；依法免税的应提供相关文件证明； 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tc>
        <w:tc>
          <w:tcPr>
            <w:tcW w:type="dxa" w:w="1661"/>
          </w:tcPr>
          <w:p>
            <w:pPr>
              <w:pStyle w:val="null3"/>
            </w:pPr>
            <w:r>
              <w:rPr>
                <w:rFonts w:ascii="仿宋_GB2312" w:hAnsi="仿宋_GB2312" w:cs="仿宋_GB2312" w:eastAsia="仿宋_GB2312"/>
              </w:rPr>
              <w:t>施工一标段供应商资格证明文件.docx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须提供合法有效，具有独立承担民事责任能力的证明资料。</w:t>
            </w:r>
          </w:p>
        </w:tc>
        <w:tc>
          <w:tcPr>
            <w:tcW w:type="dxa" w:w="1661"/>
          </w:tcPr>
          <w:p>
            <w:pPr>
              <w:pStyle w:val="null3"/>
            </w:pPr>
            <w:r>
              <w:rPr>
                <w:rFonts w:ascii="仿宋_GB2312" w:hAnsi="仿宋_GB2312" w:cs="仿宋_GB2312" w:eastAsia="仿宋_GB2312"/>
              </w:rPr>
              <w:t>施工二标段供应商资格证明文件.docx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2024年度或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税收缴纳证明：提供响应文件递交截止时间前一年内任意一个月的缴费凭据；依法免税的应提供相关文件证明； 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tc>
        <w:tc>
          <w:tcPr>
            <w:tcW w:type="dxa" w:w="1661"/>
          </w:tcPr>
          <w:p>
            <w:pPr>
              <w:pStyle w:val="null3"/>
            </w:pPr>
            <w:r>
              <w:rPr>
                <w:rFonts w:ascii="仿宋_GB2312" w:hAnsi="仿宋_GB2312" w:cs="仿宋_GB2312" w:eastAsia="仿宋_GB2312"/>
              </w:rPr>
              <w:t>施工二标段供应商资格证明文件.docx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本项目专门面向中小企业采购，供应商应为中型、小型或微型企业，本项目所属行业，建筑业。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本项目专门面向中小企业采购，供应商应为中型、小型或微型企业，本项目所属行业，建筑业。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供应商须具备市政公用工程施工总承包三级（含三级）及以上资质，并具有有效的安全生产许可证；</w:t>
            </w:r>
          </w:p>
        </w:tc>
        <w:tc>
          <w:tcPr>
            <w:tcW w:type="dxa" w:w="1661"/>
          </w:tcPr>
          <w:p>
            <w:pPr>
              <w:pStyle w:val="null3"/>
            </w:pPr>
            <w:r>
              <w:rPr>
                <w:rFonts w:ascii="仿宋_GB2312" w:hAnsi="仿宋_GB2312" w:cs="仿宋_GB2312" w:eastAsia="仿宋_GB2312"/>
              </w:rPr>
              <w:t>施工一标段供应商资格证明文件.docx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拟派项目经理须具有市政公用工程二级及以上注册建造师资格并具有有效的安全生产考核合格证（建安B证），且无在建工程；</w:t>
            </w:r>
          </w:p>
        </w:tc>
        <w:tc>
          <w:tcPr>
            <w:tcW w:type="dxa" w:w="1661"/>
          </w:tcPr>
          <w:p>
            <w:pPr>
              <w:pStyle w:val="null3"/>
            </w:pPr>
            <w:r>
              <w:rPr>
                <w:rFonts w:ascii="仿宋_GB2312" w:hAnsi="仿宋_GB2312" w:cs="仿宋_GB2312" w:eastAsia="仿宋_GB2312"/>
              </w:rPr>
              <w:t>施工一标段供应商资格证明文件.docx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施工一标段供应商资格证明文件.docx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施工一标段供应商资格证明文件.docx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施工一标段供应商资格证明文件.docx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供应商须具备市政公用工程施工总承包三级（含三级）及以上资质，并具有有效的安全生产许可证；</w:t>
            </w:r>
          </w:p>
        </w:tc>
        <w:tc>
          <w:tcPr>
            <w:tcW w:type="dxa" w:w="1661"/>
          </w:tcPr>
          <w:p>
            <w:pPr>
              <w:pStyle w:val="null3"/>
            </w:pPr>
            <w:r>
              <w:rPr>
                <w:rFonts w:ascii="仿宋_GB2312" w:hAnsi="仿宋_GB2312" w:cs="仿宋_GB2312" w:eastAsia="仿宋_GB2312"/>
              </w:rPr>
              <w:t>施工二标段供应商资格证明文件.docx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拟派项目经理须具有市政公用工程二级及以上注册建造师资格并具有有效的安全生产考核合格证（建安B证），且无在建工程；</w:t>
            </w:r>
          </w:p>
        </w:tc>
        <w:tc>
          <w:tcPr>
            <w:tcW w:type="dxa" w:w="1661"/>
          </w:tcPr>
          <w:p>
            <w:pPr>
              <w:pStyle w:val="null3"/>
            </w:pPr>
            <w:r>
              <w:rPr>
                <w:rFonts w:ascii="仿宋_GB2312" w:hAnsi="仿宋_GB2312" w:cs="仿宋_GB2312" w:eastAsia="仿宋_GB2312"/>
              </w:rPr>
              <w:t>施工二标段供应商资格证明文件.docx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施工二标段供应商资格证明文件.docx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施工二标段供应商资格证明文件.docx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施工二标段供应商资格证明文件.docx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已标价工程量清单 中小企业声明函 施工一标段技术方案.docx 强制优先采购产品承诺函 响应文件封面 施工一标段政府采购供应商拒绝政府采购领域商业贿赂承诺书.docx 项目管理机构组成表 施工一标段供应商资格证明文件.docx 残疾人福利性单位声明函 报价函 标的清单 供应商类似项目业绩一览表 响应函 主要人员简历表 施工一标段技术服务合同条款及其他商务要求应答表.docx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报价函 标的清单 施工一标段技术服务合同条款及其他商务要求应答表.docx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供应商名称应与营业执照相一致</w:t>
            </w:r>
          </w:p>
        </w:tc>
        <w:tc>
          <w:tcPr>
            <w:tcW w:type="dxa" w:w="1661"/>
          </w:tcPr>
          <w:p>
            <w:pPr>
              <w:pStyle w:val="null3"/>
            </w:pPr>
            <w:r>
              <w:rPr>
                <w:rFonts w:ascii="仿宋_GB2312" w:hAnsi="仿宋_GB2312" w:cs="仿宋_GB2312" w:eastAsia="仿宋_GB2312"/>
              </w:rPr>
              <w:t>已标价工程量清单 中小企业声明函 施工一标段技术方案.docx 强制优先采购产品承诺函 响应文件封面 施工一标段政府采购供应商拒绝政府采购领域商业贿赂承诺书.docx 项目管理机构组成表 施工一标段供应商资格证明文件.docx 残疾人福利性单位声明函 报价函 标的清单 供应商类似项目业绩一览表 响应函 主要人员简历表 施工一标段技术服务合同条款及其他商务要求应答表.docx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施工一标段技术服务合同条款及其他商务要求应答表.docx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中小企业声明函 施工一标段技术方案.docx 强制优先采购产品承诺函 响应文件封面 施工一标段政府采购供应商拒绝政府采购领域商业贿赂承诺书.docx 项目管理机构组成表 施工一标段供应商资格证明文件.docx 残疾人福利性单位声明函 报价函 标的清单 供应商类似项目业绩一览表 响应函 主要人员简历表 施工一标段技术服务合同条款及其他商务要求应答表.docx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已标价工程量清单 中小企业声明函 强制优先采购产品承诺函 施工二标段技术服务合同条款及其他商务要求应答表.docx 响应文件封面 项目管理机构组成表 施工二标段供应商资格证明文件.docx 施工二标段技术方案.docx 残疾人福利性单位声明函 报价函 标的清单 供应商类似项目业绩一览表 施工二标段政府采购供应商拒绝政府采购领域商业贿赂承诺书.docx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报价函 标的清单 施工二标段技术服务合同条款及其他商务要求应答表.docx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供应商名称应与营业执照相一致</w:t>
            </w:r>
          </w:p>
        </w:tc>
        <w:tc>
          <w:tcPr>
            <w:tcW w:type="dxa" w:w="1661"/>
          </w:tcPr>
          <w:p>
            <w:pPr>
              <w:pStyle w:val="null3"/>
            </w:pPr>
            <w:r>
              <w:rPr>
                <w:rFonts w:ascii="仿宋_GB2312" w:hAnsi="仿宋_GB2312" w:cs="仿宋_GB2312" w:eastAsia="仿宋_GB2312"/>
              </w:rPr>
              <w:t>已标价工程量清单 中小企业声明函 强制优先采购产品承诺函 施工二标段技术服务合同条款及其他商务要求应答表.docx 响应文件封面 项目管理机构组成表 施工二标段供应商资格证明文件.docx 施工二标段技术方案.docx 残疾人福利性单位声明函 报价函 标的清单 供应商类似项目业绩一览表 施工二标段政府采购供应商拒绝政府采购领域商业贿赂承诺书.docx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施工二标段技术服务合同条款及其他商务要求应答表.docx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已标价工程量清单 中小企业声明函 强制优先采购产品承诺函 施工二标段技术服务合同条款及其他商务要求应答表.docx 响应文件封面 项目管理机构组成表 施工二标段供应商资格证明文件.docx 施工二标段技术方案.docx 残疾人福利性单位声明函 报价函 标的清单 供应商类似项目业绩一览表 施工二标段政府采购供应商拒绝政府采购领域商业贿赂承诺书.docx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内容至少包括①施工总平面布置；②资源配备计划：主要施工机械设备、劳动力等配备计划及主材进场计划；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施工一标段技术方案.docx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内容至少包括①施工准备；②施工方法及相关技术措施；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施工一标段技术方案.docx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内容至少包括①施工进度计划；②工期保障措施。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施工一标段技术方案.docx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内容至少包括①质量管理体系；②施工质量保障措施。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施工一标段技术方案.docx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内容至少包括①安全生产管理体系；②安全生产保证措施。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施工一标段技术方案.docx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内容至少包括①文明施工及环境保护管理体系；②防尘降噪措施；③文明施工及环境保护措施。 赋分标准（12分）：每项评审内容不存在缺陷得4分，满分12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施工一标段技术方案.docx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1.项目管理机构中每具有一个工程类中级职称得0.5分,具有高级职称得1分；本项最高得3分。 2.①项目管理机构人员配备7人以上得5分； ②项目管理机构人员配备4-6人得4分； ③项目管理机构人员配备0-3人得2分。 本项须提供人员相关证件； 注：不提供或完全背离评审标准得0分。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供应商提供近三年（2023年4月至今）的类似业绩，每提供一个得1分，最多得5分，未提供得0分。（以合同签订时间为准）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不高于最高限价，且经磋商小组评审不低于成本价的最终磋商报价为有效磋商报价。 (2) 满足竞争性磋商文件要求且磋商价格最低的最终磋商报价为磋商基准价，得满分35分； (3) 磋商报价得分=(磋商基准价／最终磋商报价)×35%×100。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内容至少包括①施工总平面布置；②资源配备计划：主要施工机械设备、劳动力等配备计划及主材进场计划；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施工二标段技术方案.docx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内容至少包括①施工准备；②施工方法及相关技术措施；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施工二标段技术方案.docx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内容至少包括①施工进度计划；②工期保障措施。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施工二标段技术方案.docx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内容至少包括①质量管理体系；②施工质量保障措施。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施工二标段技术方案.docx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内容至少包括①安全生产管理体系；②安全生产保证措施。 赋分标准（8分）：每项评审内容不存在缺陷得4分，满分8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施工二标段技术方案.docx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内容至少包括①文明施工及环境保护管理体系；②防尘降噪措施；③文明施工及环境保护措施。 赋分标准（12分）：每项评审内容不存在缺陷得4分，满分12分；每项评审内容每存在一处缺陷扣0.8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施工二标段技术方案.docx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1.项目管理机构中每具有一个工程类中级职称得0.5分,具有高级职称得1分；本项最高得3分。 2.①项目管理机构人员配备7人以上得5分； ②项目管理机构人员配备4-6人得4分； ③项目管理机构人员配备0-3人得2分。 本项须提供人员相关证件； 注：不提供或完全背离评审标准得0分。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供应商提供近三年（2023年4月至今）的类似业绩，每提供一个得1分，最多得5分，未提供得0分。（以合同签订时间为准）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不高于最高限价，且经磋商小组评审不低于成本价的最终磋商报价为有效磋商报价。 (2) 满足竞争性磋商文件要求且磋商价格最低的最终磋商报价为磋商基准价，得满分35分； (3) 磋商报价得分=(磋商基准价／最终磋商报价)×35%×100。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详见附件：施工一标段供应商资格证明文件.docx</w:t>
      </w:r>
    </w:p>
    <w:p>
      <w:pPr>
        <w:pStyle w:val="null3"/>
        <w:ind w:firstLine="960"/>
      </w:pPr>
      <w:r>
        <w:rPr>
          <w:rFonts w:ascii="仿宋_GB2312" w:hAnsi="仿宋_GB2312" w:cs="仿宋_GB2312" w:eastAsia="仿宋_GB2312"/>
        </w:rPr>
        <w:t>详见附件：施工一标段技术方案.docx</w:t>
      </w:r>
    </w:p>
    <w:p>
      <w:pPr>
        <w:pStyle w:val="null3"/>
        <w:ind w:firstLine="960"/>
      </w:pPr>
      <w:r>
        <w:rPr>
          <w:rFonts w:ascii="仿宋_GB2312" w:hAnsi="仿宋_GB2312" w:cs="仿宋_GB2312" w:eastAsia="仿宋_GB2312"/>
        </w:rPr>
        <w:t>详见附件：施工一标段技术服务合同条款及其他商务要求应答表.docx</w:t>
      </w:r>
    </w:p>
    <w:p>
      <w:pPr>
        <w:pStyle w:val="null3"/>
        <w:ind w:firstLine="960"/>
      </w:pPr>
      <w:r>
        <w:rPr>
          <w:rFonts w:ascii="仿宋_GB2312" w:hAnsi="仿宋_GB2312" w:cs="仿宋_GB2312" w:eastAsia="仿宋_GB2312"/>
        </w:rPr>
        <w:t>详见附件：施工一标段政府采购供应商拒绝政府采购领域商业贿赂承诺书.docx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详见附件：施工二标段供应商资格证明文件.docx</w:t>
      </w:r>
    </w:p>
    <w:p>
      <w:pPr>
        <w:pStyle w:val="null3"/>
        <w:ind w:firstLine="960"/>
      </w:pPr>
      <w:r>
        <w:rPr>
          <w:rFonts w:ascii="仿宋_GB2312" w:hAnsi="仿宋_GB2312" w:cs="仿宋_GB2312" w:eastAsia="仿宋_GB2312"/>
        </w:rPr>
        <w:t>详见附件：施工二标段技术方案.docx</w:t>
      </w:r>
    </w:p>
    <w:p>
      <w:pPr>
        <w:pStyle w:val="null3"/>
        <w:ind w:firstLine="960"/>
      </w:pPr>
      <w:r>
        <w:rPr>
          <w:rFonts w:ascii="仿宋_GB2312" w:hAnsi="仿宋_GB2312" w:cs="仿宋_GB2312" w:eastAsia="仿宋_GB2312"/>
        </w:rPr>
        <w:t>详见附件：施工二标段技术服务合同条款及其他商务要求应答表.docx</w:t>
      </w:r>
    </w:p>
    <w:p>
      <w:pPr>
        <w:pStyle w:val="null3"/>
        <w:ind w:firstLine="960"/>
      </w:pPr>
      <w:r>
        <w:rPr>
          <w:rFonts w:ascii="仿宋_GB2312" w:hAnsi="仿宋_GB2312" w:cs="仿宋_GB2312" w:eastAsia="仿宋_GB2312"/>
        </w:rPr>
        <w:t>详见附件：施工二标段政府采购供应商拒绝政府采购领域商业贿赂承诺书.docx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