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版本号：YSGS-2026ZB0302-120260409001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王尚德烈士事迹陈列馆改陈布展项目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YSGS-2026ZB0302-1</w:t>
      </w:r>
      <w:r>
        <w:br/>
      </w:r>
      <w:r>
        <w:br/>
      </w:r>
      <w:r>
        <w:br/>
      </w:r>
    </w:p>
    <w:p>
      <w:pPr>
        <w:pStyle w:val="null3"/>
        <w:jc w:val="center"/>
        <w:outlineLvl w:val="2"/>
      </w:pPr>
      <w:r>
        <w:rPr>
          <w:rFonts w:ascii="仿宋_GB2312" w:hAnsi="仿宋_GB2312" w:cs="仿宋_GB2312" w:eastAsia="仿宋_GB2312"/>
          <w:sz w:val="28"/>
          <w:b/>
        </w:rPr>
        <w:t>渭南市临渭区退役军人事务局</w:t>
      </w:r>
    </w:p>
    <w:p>
      <w:pPr>
        <w:pStyle w:val="null3"/>
        <w:jc w:val="center"/>
        <w:outlineLvl w:val="2"/>
      </w:pPr>
      <w:r>
        <w:rPr>
          <w:rFonts w:ascii="仿宋_GB2312" w:hAnsi="仿宋_GB2312" w:cs="仿宋_GB2312" w:eastAsia="仿宋_GB2312"/>
          <w:sz w:val="28"/>
          <w:b/>
        </w:rPr>
        <w:t>陕西衍森项目管理有限公司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陕西衍森项目管理有限公司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渭南市临渭区退役军人事务局</w:t>
      </w:r>
      <w:r>
        <w:rPr>
          <w:rFonts w:ascii="仿宋_GB2312" w:hAnsi="仿宋_GB2312" w:cs="仿宋_GB2312" w:eastAsia="仿宋_GB2312"/>
        </w:rPr>
        <w:t>委托，拟对</w:t>
      </w:r>
      <w:r>
        <w:rPr>
          <w:rFonts w:ascii="仿宋_GB2312" w:hAnsi="仿宋_GB2312" w:cs="仿宋_GB2312" w:eastAsia="仿宋_GB2312"/>
        </w:rPr>
        <w:t>王尚德烈士事迹陈列馆改陈布展项目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YSGS-2026ZB0302-1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王尚德烈士事迹陈列馆改陈布展项目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王尚德烈士事迹陈列馆改陈布展项目主要建设规模及内容包括:项目改陈布展总建筑面积514.87m2，其中第一展厅193.59m2，第二、第三展厅161.92m2，第四展厅及接待厅159.36m2;依托王尚德烈士陵园现有建筑空间，对烈士事迹陈列馆和东、西展厅进行改陈布展，包括序厅、尾厅、四个基本陈列展厅及接待厅的重新规划及布展。同时对展馆内安 防、照明、多媒体及通风等系统进行升级和完善。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采购包1（王尚德烈士事迹陈列馆改陈布展项目）：属于专门面向中小企业采购。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登记注册证：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财务状况报告：两种形式任选一种，提供2024年度或2025年度经审计的财务报告(成立时间至提交响应文件截止时间不足一年的可提供成立后任意时段的资产负债表)，或开标前六个月内其基本存款账户开户银行出具的资信证明及基本存款账户的 相关证明材料。(评审依据:经审计的财务报告，指的是由第三方机构进行审计并出具审计意见，报告附含能证明财务状况的财务报表即可(至少包含资产负债表、利润表、现金流量表))。</w:t>
      </w:r>
    </w:p>
    <w:p>
      <w:pPr>
        <w:pStyle w:val="null3"/>
      </w:pPr>
      <w:r>
        <w:rPr>
          <w:rFonts w:ascii="仿宋_GB2312" w:hAnsi="仿宋_GB2312" w:cs="仿宋_GB2312" w:eastAsia="仿宋_GB2312"/>
        </w:rPr>
        <w:t>3、税收缴纳证明：提供2025年10月至今已缴纳的至少一个月的纳税证明或完税证明，依法免税的单位应提供相关证明材料。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4、社会保障资金缴纳证明：提供2025年10月至今已缴存的至少一个月的社会保险参保缴费情况证明，依法不需要缴纳社会保障资金的单位应提供相关证明材料。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5、具有履行合同所必须的设备和专业技术能力的承诺：提供具有履行合同所必需的设备和专业技术能力的承诺。</w:t>
      </w:r>
    </w:p>
    <w:p>
      <w:pPr>
        <w:pStyle w:val="null3"/>
      </w:pPr>
      <w:r>
        <w:rPr>
          <w:rFonts w:ascii="仿宋_GB2312" w:hAnsi="仿宋_GB2312" w:cs="仿宋_GB2312" w:eastAsia="仿宋_GB2312"/>
        </w:rPr>
        <w:t>6、法定代表人(主要责任人)委托授权书/身份证明：法定代表人授权书(附法定代表人、被授权人身份证复印件)及被授权人身份证(法定代表人直接参加磋商，须提供法定代表人身份证明及身份证原件)</w:t>
      </w:r>
    </w:p>
    <w:p>
      <w:pPr>
        <w:pStyle w:val="null3"/>
      </w:pPr>
      <w:r>
        <w:rPr>
          <w:rFonts w:ascii="仿宋_GB2312" w:hAnsi="仿宋_GB2312" w:cs="仿宋_GB2312" w:eastAsia="仿宋_GB2312"/>
        </w:rPr>
        <w:t>7、无重大违法记录的书面声明：出具参加政府采购活动前3年内在经营活动中没有重大违法记录的书面声明</w:t>
      </w:r>
    </w:p>
    <w:p>
      <w:pPr>
        <w:pStyle w:val="null3"/>
      </w:pPr>
      <w:r>
        <w:rPr>
          <w:rFonts w:ascii="仿宋_GB2312" w:hAnsi="仿宋_GB2312" w:cs="仿宋_GB2312" w:eastAsia="仿宋_GB2312"/>
        </w:rPr>
        <w:t>8、信誉要求：供应商应在中国执行信息公开网网站(http://zxgk.Court.gov.cn/中未列入失信被执行人，在信用中国网站(www.creditchina.gov.cn)中未列入重大税收违法失信主体，在中国政府采购网(www.ccgp.gov.cn)未被列入政府采购严重失信行为记录名单(处罚期限届满的除外，如相关失信记录已失效，供应商需提供相关证明资料:磋商当天代理公司核查为准，供应商无需提供)</w:t>
      </w:r>
    </w:p>
    <w:p>
      <w:pPr>
        <w:pStyle w:val="null3"/>
      </w:pPr>
      <w:r>
        <w:rPr>
          <w:rFonts w:ascii="仿宋_GB2312" w:hAnsi="仿宋_GB2312" w:cs="仿宋_GB2312" w:eastAsia="仿宋_GB2312"/>
        </w:rPr>
        <w:t>9、资质要求：供应商具备建筑装修装饰工程专业承包二级及以上资质及电子与智能化工程专业承包二级及以上资质及安全生产许可证;</w:t>
      </w:r>
    </w:p>
    <w:p>
      <w:pPr>
        <w:pStyle w:val="null3"/>
      </w:pPr>
      <w:r>
        <w:rPr>
          <w:rFonts w:ascii="仿宋_GB2312" w:hAnsi="仿宋_GB2312" w:cs="仿宋_GB2312" w:eastAsia="仿宋_GB2312"/>
        </w:rPr>
        <w:t>10、拟派项目负责人资质及专业要求：具有合法有效的主管部门颁发的机电工程或建筑工程专业二级及以上建造师注册证书、具备有效的安全生产考核合格证且无在建工程。</w:t>
      </w:r>
    </w:p>
    <w:p>
      <w:pPr>
        <w:pStyle w:val="null3"/>
      </w:pPr>
      <w:r>
        <w:rPr>
          <w:rFonts w:ascii="仿宋_GB2312" w:hAnsi="仿宋_GB2312" w:cs="仿宋_GB2312" w:eastAsia="仿宋_GB2312"/>
        </w:rPr>
        <w:t>11、本项目不接受联合体磋商：本项目不接受联合体磋商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渭南市临渭区退役军人事务局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东风大街83号（区政府院内）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渭南市临渭区退役军人事务局经办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18091324960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陕西衍森项目管理有限公司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陕西省西安市灞桥区陕西省西安市浐灞生态区欧亚大道3399号欧亚国际一期B座0712室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张乐、白琪琪、刘敏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13259952916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刘园</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15829421695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采购包1：2,579,647.28元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服务费参照《国家计委关于印发&lt;招标代理服务收费管理暂行办法&gt;的通知》（计价格【2002】1980号）及《国家发展和改革委员会办公厅关于招标代理服务收费有关问题的通知》（发改办价格〔2003〕857号）文件中服务类收费标准收取，由中标（成交）供应商向受托人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渭南市临渭区退役军人事务局</w:t>
      </w:r>
      <w:r>
        <w:rPr>
          <w:rFonts w:ascii="仿宋_GB2312" w:hAnsi="仿宋_GB2312" w:cs="仿宋_GB2312" w:eastAsia="仿宋_GB2312"/>
        </w:rPr>
        <w:t>和</w:t>
      </w:r>
      <w:r>
        <w:rPr>
          <w:rFonts w:ascii="仿宋_GB2312" w:hAnsi="仿宋_GB2312" w:cs="仿宋_GB2312" w:eastAsia="仿宋_GB2312"/>
        </w:rPr>
        <w:t>陕西衍森项目管理有限公司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渭南市临渭区退役军人事务局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陕西衍森项目管理有限公司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渭南市临渭区退役军人事务局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陕西衍森项目管理有限公司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联系人：张乐</w:t>
      </w:r>
    </w:p>
    <w:p>
      <w:pPr>
        <w:pStyle w:val="null3"/>
      </w:pPr>
      <w:r>
        <w:rPr>
          <w:rFonts w:ascii="仿宋_GB2312" w:hAnsi="仿宋_GB2312" w:cs="仿宋_GB2312" w:eastAsia="仿宋_GB2312"/>
        </w:rPr>
        <w:t>联系电话：13259952916</w:t>
      </w:r>
    </w:p>
    <w:p>
      <w:pPr>
        <w:pStyle w:val="null3"/>
      </w:pPr>
      <w:r>
        <w:rPr>
          <w:rFonts w:ascii="仿宋_GB2312" w:hAnsi="仿宋_GB2312" w:cs="仿宋_GB2312" w:eastAsia="仿宋_GB2312"/>
        </w:rPr>
        <w:t>地址：陕西省西安市浐灞生态区欧亚大道3399号欧亚国际1期B座0712室</w:t>
      </w:r>
    </w:p>
    <w:p>
      <w:pPr>
        <w:pStyle w:val="null3"/>
      </w:pPr>
      <w:r>
        <w:rPr>
          <w:rFonts w:ascii="仿宋_GB2312" w:hAnsi="仿宋_GB2312" w:cs="仿宋_GB2312" w:eastAsia="仿宋_GB2312"/>
        </w:rPr>
        <w:t>邮编：710024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2,579,647.28</w:t>
      </w:r>
    </w:p>
    <w:p>
      <w:pPr>
        <w:pStyle w:val="null3"/>
      </w:pPr>
      <w:r>
        <w:rPr>
          <w:rFonts w:ascii="仿宋_GB2312" w:hAnsi="仿宋_GB2312" w:cs="仿宋_GB2312" w:eastAsia="仿宋_GB2312"/>
        </w:rPr>
        <w:t>采购包最高限价（元）: 2,579,647.28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王尚德烈士事迹陈列馆改陈布展项目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2,579,647.28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标的名称：王尚德烈士事迹陈列馆改陈布展项目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r>
              <w:br/>
            </w:r>
            <w:r>
              <w:rPr>
                <w:rFonts w:ascii="仿宋_GB2312" w:hAnsi="仿宋_GB2312" w:cs="仿宋_GB2312" w:eastAsia="仿宋_GB2312"/>
              </w:rPr>
              <w:t xml:space="preserve"> 王尚德烈士事迹陈列馆改陈布展项目主要建设规模及内容包括:项目改陈布展总建筑面积514.87m2，其中第一展厅193.59m2，第二、第三展厅161.92m2，第四展厅及接待厅159.36m2:依托王尚德烈士陵园现有建筑空间，对烈士事迹陈列馆和东、西展厅进行改陈布展，包括序厅、尾厅、四个基本陈列展厅及接待厅的重新规划及布展。同时对展馆内安防、照明、多媒体及通风等系统进行升级和完善。总工期90日历天。</w:t>
            </w:r>
            <w:r>
              <w:br/>
            </w:r>
            <w:r>
              <w:rPr>
                <w:rFonts w:ascii="仿宋_GB2312" w:hAnsi="仿宋_GB2312" w:cs="仿宋_GB2312" w:eastAsia="仿宋_GB2312"/>
              </w:rPr>
              <w:t xml:space="preserve"> 二、施工要求</w:t>
            </w:r>
            <w:r>
              <w:br/>
            </w:r>
            <w:r>
              <w:rPr>
                <w:rFonts w:ascii="仿宋_GB2312" w:hAnsi="仿宋_GB2312" w:cs="仿宋_GB2312" w:eastAsia="仿宋_GB2312"/>
              </w:rPr>
              <w:t xml:space="preserve"> 在施工期间，中标供应商必须注意人员安全，加强安全措施，并对施工人员进行安全教育。施工人员必须持证上岗。因cai购人工作的特殊性，要求中标供应商在施工中做到封闭性施工。</w:t>
            </w:r>
            <w:r>
              <w:br/>
            </w:r>
            <w:r>
              <w:rPr>
                <w:rFonts w:ascii="仿宋_GB2312" w:hAnsi="仿宋_GB2312" w:cs="仿宋_GB2312" w:eastAsia="仿宋_GB2312"/>
              </w:rPr>
              <w:t xml:space="preserve"> 三、工程量清单</w:t>
            </w:r>
            <w:r>
              <w:br/>
            </w:r>
            <w:r>
              <w:rPr>
                <w:rFonts w:ascii="仿宋_GB2312" w:hAnsi="仿宋_GB2312" w:cs="仿宋_GB2312" w:eastAsia="仿宋_GB2312"/>
              </w:rPr>
              <w:t xml:space="preserve"> (详见附件)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符合国家、省市相关法律、法规、标准、规范。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有效的登记注册证</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两种形式任选一种，提供2024年度或2025年度经审计的财务报告(成立时间至提交响应文件截止时间不足一年的可提供成立后任意时段的资产负债表)，或开标前六个月内其基本存款账户开户银行出具的资信证明及基本存款账户的 相关证明材料。(评审依据:经审计的财务报告，指的是由第三方机构进行审计并出具审计意见，报告附含能证明财务状况的财务报表即可(至少包含资产负债表、利润表、现金流量表))。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提供2025年10月至今已缴存的至少一个月的社会保险参保缴费情况证明，依法不需要缴纳社会保障资金的单位应提供相关证明材料。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具有履行合同所必须的设备和专业技术能力的承诺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法定代表人(主要责任人)委托授权书/身份证明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在中国执行信息公开网网站(http://zxgk.Court.gov.cn/中未列入失信被执行人，在信用中国网站(www.creditchina.gov.cn)中未列入重大税收违法失信主体，在中国政府采购网(www.ccgp.gov.cn)未被列入政府采购严重失信行为记录名单(处罚期限届满的除外，如相关失信记录已失效，供应商需提供相关证明资料:磋商当天代理公司核查为准，供应商无需提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供应商具备建筑装修装饰工程专业承包二级及以上资质及电子与智能化工程专业承包二级及以上资质及安全生产许可证;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具有合法有效的主管部门颁发的机电工程或建筑工程专业二级及以上建造师注册证书、具备有效的安全生产考核合格证且无在建工程。</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投标(响应)文件的签字盖章符合性</w:t>
            </w:r>
          </w:p>
        </w:tc>
        <w:tc>
          <w:tcPr>
            <w:tcW w:type="dxa" w:w="3322"/>
          </w:tcPr>
          <w:p>
            <w:pPr>
              <w:pStyle w:val="null3"/>
            </w:pPr>
            <w:r>
              <w:rPr>
                <w:rFonts w:ascii="仿宋_GB2312" w:hAnsi="仿宋_GB2312" w:cs="仿宋_GB2312" w:eastAsia="仿宋_GB2312"/>
              </w:rPr>
              <w:t>投标(响应)文件上法定代表人或其授权代表人的签字齐全或加盖公章，符合磋商文件要求</w:t>
            </w:r>
          </w:p>
        </w:tc>
        <w:tc>
          <w:tcPr>
            <w:tcW w:type="dxa" w:w="1661"/>
          </w:tcPr>
          <w:p>
            <w:pPr>
              <w:pStyle w:val="null3"/>
            </w:pPr>
            <w:r>
              <w:rPr>
                <w:rFonts w:ascii="仿宋_GB2312" w:hAnsi="仿宋_GB2312" w:cs="仿宋_GB2312" w:eastAsia="仿宋_GB2312"/>
              </w:rPr>
              <w:t>已标价工程量清单 供应商类似项目业绩一览表.docx 中小企业声明函 商务条款响应偏离表.docx 项目管理机构.docx 供应商承诺书.docx 资格证明文件.docx 响应文件封面 施工技术方案.docx 残疾人福利性单位声明函 报价函 标的清单 技术、服务条款响应偏离表.docx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供应商名称字章符合性</w:t>
            </w:r>
          </w:p>
        </w:tc>
        <w:tc>
          <w:tcPr>
            <w:tcW w:type="dxa" w:w="3322"/>
          </w:tcPr>
          <w:p>
            <w:pPr>
              <w:pStyle w:val="null3"/>
            </w:pPr>
            <w:r>
              <w:rPr>
                <w:rFonts w:ascii="仿宋_GB2312" w:hAnsi="仿宋_GB2312" w:cs="仿宋_GB2312" w:eastAsia="仿宋_GB2312"/>
              </w:rPr>
              <w:t>供应商名称字章一致</w:t>
            </w:r>
          </w:p>
        </w:tc>
        <w:tc>
          <w:tcPr>
            <w:tcW w:type="dxa" w:w="1661"/>
          </w:tcPr>
          <w:p>
            <w:pPr>
              <w:pStyle w:val="null3"/>
            </w:pPr>
            <w:r>
              <w:rPr>
                <w:rFonts w:ascii="仿宋_GB2312" w:hAnsi="仿宋_GB2312" w:cs="仿宋_GB2312" w:eastAsia="仿宋_GB2312"/>
              </w:rPr>
              <w:t>已标价工程量清单 供应商类似项目业绩一览表.docx 中小企业声明函 商务条款响应偏离表.docx 项目管理机构.docx 供应商承诺书.docx 资格证明文件.docx 响应文件封面 施工技术方案.docx 残疾人福利性单位声明函 报价函 标的清单 技术、服务条款响应偏离表.docx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投标(响应)有效期符合性</w:t>
            </w:r>
          </w:p>
        </w:tc>
        <w:tc>
          <w:tcPr>
            <w:tcW w:type="dxa" w:w="3322"/>
          </w:tcPr>
          <w:p>
            <w:pPr>
              <w:pStyle w:val="null3"/>
            </w:pPr>
            <w:r>
              <w:rPr>
                <w:rFonts w:ascii="仿宋_GB2312" w:hAnsi="仿宋_GB2312" w:cs="仿宋_GB2312" w:eastAsia="仿宋_GB2312"/>
              </w:rPr>
              <w:t>投标(响应)有效期满足磋商文件要求</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投标(响应)报价符合性</w:t>
            </w:r>
          </w:p>
        </w:tc>
        <w:tc>
          <w:tcPr>
            <w:tcW w:type="dxa" w:w="3322"/>
          </w:tcPr>
          <w:p>
            <w:pPr>
              <w:pStyle w:val="null3"/>
            </w:pPr>
            <w:r>
              <w:rPr>
                <w:rFonts w:ascii="仿宋_GB2312" w:hAnsi="仿宋_GB2312" w:cs="仿宋_GB2312" w:eastAsia="仿宋_GB2312"/>
              </w:rPr>
              <w:t>投标(响应)报价是唯一有效的、投标(响应)报价不得超出最高限价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技术、服务、商务响应满足磋商文件实质性要求</w:t>
            </w:r>
          </w:p>
        </w:tc>
        <w:tc>
          <w:tcPr>
            <w:tcW w:type="dxa" w:w="3322"/>
          </w:tcPr>
          <w:p>
            <w:pPr>
              <w:pStyle w:val="null3"/>
            </w:pPr>
            <w:r>
              <w:rPr>
                <w:rFonts w:ascii="仿宋_GB2312" w:hAnsi="仿宋_GB2312" w:cs="仿宋_GB2312" w:eastAsia="仿宋_GB2312"/>
              </w:rPr>
              <w:t>技术、服务响应满足磋商文件要求:商务响应满足磋商文件要求</w:t>
            </w:r>
          </w:p>
        </w:tc>
        <w:tc>
          <w:tcPr>
            <w:tcW w:type="dxa" w:w="1661"/>
          </w:tcPr>
          <w:p>
            <w:pPr>
              <w:pStyle w:val="null3"/>
            </w:pPr>
            <w:r>
              <w:rPr>
                <w:rFonts w:ascii="仿宋_GB2312" w:hAnsi="仿宋_GB2312" w:cs="仿宋_GB2312" w:eastAsia="仿宋_GB2312"/>
              </w:rPr>
              <w:t>技术、服务条款响应偏离表.docx 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已标价工程量清单 供应商类似项目业绩一览表.docx 中小企业声明函 商务条款响应偏离表.docx 项目管理机构.docx 供应商承诺书.docx 资格证明文件.docx 响应文件封面 施工技术方案.docx 残疾人福利性单位声明函 报价函 标的清单 技术、服务条款响应偏离表.docx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项目总体设计方案</w:t>
            </w:r>
          </w:p>
        </w:tc>
        <w:tc>
          <w:tcPr>
            <w:tcW w:type="dxa" w:w="2492"/>
          </w:tcPr>
          <w:p>
            <w:pPr>
              <w:pStyle w:val="null3"/>
            </w:pPr>
            <w:r>
              <w:rPr>
                <w:rFonts w:ascii="仿宋_GB2312" w:hAnsi="仿宋_GB2312" w:cs="仿宋_GB2312" w:eastAsia="仿宋_GB2312"/>
              </w:rPr>
              <w:t>结合项目展陈大纲要求深化版面设计，贴合王尚德烈士事迹陈列馆展陈主题及内容定位，深化设计方案需兼顾空间布局、展陈逻辑与视觉呈现，符合展馆改陈布展技术标准和行业规范，设计内容详实、可操作性强，能有效指导后续施工实施。科学、合理得20 分；较为合理得10 分；一般得5分。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项目总体施工方案</w:t>
            </w:r>
          </w:p>
        </w:tc>
        <w:tc>
          <w:tcPr>
            <w:tcW w:type="dxa" w:w="2492"/>
          </w:tcPr>
          <w:p>
            <w:pPr>
              <w:pStyle w:val="null3"/>
            </w:pPr>
            <w:r>
              <w:rPr>
                <w:rFonts w:ascii="仿宋_GB2312" w:hAnsi="仿宋_GB2312" w:cs="仿宋_GB2312" w:eastAsia="仿宋_GB2312"/>
              </w:rPr>
              <w:t>供应商根据项目实际情况提供实施方案，方案内容包括但不限于施工图设计、进度计划、人员投入、质量保证措施、安全保证措施和技术保证措施、验收方案、应急保障措施等。 1.施工方案专门针对本项目编制，符合项目实际情况及实施要求，施工图纸详细、内容详尽且涵盖角度全面，合理性和可行性强，能够保障项目顺利实施的得30分；2.施工方案专门针对本项目编制，基本符合项目实际情况及实施要求，内容详细，基本合理可行的，得20分； 3.施工方案和实施计划仅能满足项目需求，具有项目管理组织机构及人员，根据响应情况计10分； 未提供得0分。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项目组技术支持人员</w:t>
            </w:r>
          </w:p>
        </w:tc>
        <w:tc>
          <w:tcPr>
            <w:tcW w:type="dxa" w:w="2492"/>
          </w:tcPr>
          <w:p>
            <w:pPr>
              <w:pStyle w:val="null3"/>
            </w:pPr>
            <w:r>
              <w:rPr>
                <w:rFonts w:ascii="仿宋_GB2312" w:hAnsi="仿宋_GB2312" w:cs="仿宋_GB2312" w:eastAsia="仿宋_GB2312"/>
              </w:rPr>
              <w:t>拟投入本项目技术支持人员的基本情况，包括但不限于其中成员专业资质、从事专业年限、同类项目经验等； 组成人员专业能力强且经验丰富，分工合理，责任明确得4分； 组成人员专业能力较强且经验较丰富，分工较合理，责任较明确得3分； 组成人员未提供证明材料且仅为简要概述的，得2分；未提供得0分。 注：证明材料包括但不限于毕业证书、资格证书、劳动合同或在职证明等相关证明资料复印件加盖公章。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项目组施工人员</w:t>
            </w:r>
          </w:p>
        </w:tc>
        <w:tc>
          <w:tcPr>
            <w:tcW w:type="dxa" w:w="2492"/>
          </w:tcPr>
          <w:p>
            <w:pPr>
              <w:pStyle w:val="null3"/>
            </w:pPr>
            <w:r>
              <w:rPr>
                <w:rFonts w:ascii="仿宋_GB2312" w:hAnsi="仿宋_GB2312" w:cs="仿宋_GB2312" w:eastAsia="仿宋_GB2312"/>
              </w:rPr>
              <w:t>项目组施工人员组成科学合理、人员配置充足，包括但不限于：施工员、质量员、安全员、标准员、材料员、机械员、劳务员、资料员等；每提供1个类型证书得0.5分，最高得4分；不满足或未提供得0分。 注：同一个人具有不同证书的按1个计算，不重复计分；以上人员需提供本人身份证、毕业证、资格证书、劳动合同或在职证明等相关证明资料复印件加盖公章。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施工技术方案.docx</w:t>
            </w:r>
          </w:p>
          <w:p>
            <w:pPr>
              <w:pStyle w:val="null3"/>
            </w:pPr>
            <w:r>
              <w:rPr>
                <w:rFonts w:ascii="仿宋_GB2312" w:hAnsi="仿宋_GB2312" w:cs="仿宋_GB2312" w:eastAsia="仿宋_GB2312"/>
              </w:rPr>
              <w:t>项目管理机构.docx</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提供近三年（2023年1月1日至今）类似项目业绩，每一个类似项目业绩计2分，满分4分。注：须提供项目的中标通知书或合同（合同包含首页、项目负责人姓名所在页、合同签字盖章页。若中标通知书和合同时间不一致的，以合同签订时间为准）、结算发票。</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项目管理机构.docx</w:t>
            </w:r>
          </w:p>
        </w:tc>
      </w:tr>
      <w:tr>
        <w:tc>
          <w:tcPr>
            <w:tcW w:type="dxa" w:w="831"/>
            <w:vMerge/>
          </w:tcPr>
          <w:p/>
        </w:tc>
        <w:tc>
          <w:tcPr>
            <w:tcW w:type="dxa" w:w="1661"/>
          </w:tcPr>
          <w:p>
            <w:pPr>
              <w:pStyle w:val="null3"/>
            </w:pPr>
            <w:r>
              <w:rPr>
                <w:rFonts w:ascii="仿宋_GB2312" w:hAnsi="仿宋_GB2312" w:cs="仿宋_GB2312" w:eastAsia="仿宋_GB2312"/>
              </w:rPr>
              <w:t>提供承诺内容</w:t>
            </w:r>
          </w:p>
        </w:tc>
        <w:tc>
          <w:tcPr>
            <w:tcW w:type="dxa" w:w="2492"/>
          </w:tcPr>
          <w:p>
            <w:pPr>
              <w:pStyle w:val="null3"/>
            </w:pPr>
            <w:r>
              <w:rPr>
                <w:rFonts w:ascii="仿宋_GB2312" w:hAnsi="仿宋_GB2312" w:cs="仿宋_GB2312" w:eastAsia="仿宋_GB2312"/>
              </w:rPr>
              <w:t>供应商提供的展览期间间的保修承诺内容完整，包括但不限于： 1.有售后保障工作服务方案及工作计划； 2.有保修团队人员配备并具备相关资格证书； 3.有巡查或复查计划及售后质量保障措施； 4.对工程维修服务响应时限有明确的承诺； 5.展览结束，配合完成展品撤展并按甲方要求拆除展览设施设备，清空场地。 根据响应情况每提供1项符合条件的得0.4分，最高得2分。注：某一项内容不完整或与实际需求不符或不满足要求或与本项目需求不切合或直接套用其他项目内容的扣0.3分，未提供得0分。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1日至今）类似项目业绩，每一个类似项目业绩计2分，满分6分。注：须提供项目的中标通知书或合同（合同包含首页、标的金额所在页、合同签字盖章页。若中标通知书和合同时间不一致的，以合同签订时间为准）、结算发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价格权值（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详见附件：技术、服务条款响应偏离表.docx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详见附件：施工技术方案.docx</w:t>
      </w:r>
    </w:p>
    <w:p>
      <w:pPr>
        <w:pStyle w:val="null3"/>
        <w:ind w:firstLine="960"/>
      </w:pPr>
      <w:r>
        <w:rPr>
          <w:rFonts w:ascii="仿宋_GB2312" w:hAnsi="仿宋_GB2312" w:cs="仿宋_GB2312" w:eastAsia="仿宋_GB2312"/>
        </w:rPr>
        <w:t>详见附件：项目管理机构.docx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详见附件：王尚德烈士事迹陈列馆改陈布展项目施工合同(最新).docx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