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版本号：ZCSP-华县-2025-0021320251015001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HIS系统维保服务项目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ZCSP-华县-2025-00213</w:t>
      </w:r>
      <w:r>
        <w:br/>
      </w:r>
      <w:r>
        <w:br/>
      </w:r>
      <w:r>
        <w:br/>
      </w:r>
    </w:p>
    <w:p>
      <w:pPr>
        <w:pStyle w:val="null3"/>
        <w:jc w:val="center"/>
        <w:outlineLvl w:val="5"/>
      </w:pPr>
      <w:r>
        <w:rPr>
          <w:rFonts w:ascii="仿宋_GB2312" w:hAnsi="仿宋_GB2312" w:cs="仿宋_GB2312" w:eastAsia="仿宋_GB2312"/>
          <w:sz w:val="15"/>
          <w:b/>
        </w:rPr>
        <w:t>渭南市华州区人民医院</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渭南市华州区人民医院</w:t>
      </w:r>
      <w:r>
        <w:rPr>
          <w:rFonts w:ascii="仿宋_GB2312" w:hAnsi="仿宋_GB2312" w:cs="仿宋_GB2312" w:eastAsia="仿宋_GB2312"/>
        </w:rPr>
        <w:t>委托，拟对</w:t>
      </w:r>
      <w:r>
        <w:rPr>
          <w:rFonts w:ascii="仿宋_GB2312" w:hAnsi="仿宋_GB2312" w:cs="仿宋_GB2312" w:eastAsia="仿宋_GB2312"/>
        </w:rPr>
        <w:t>HIS系统维保服务项目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ZCSP-华县-2025-00213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HIS系统维保服务项目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为确保HIS系统持续稳定运行、数据安全合规，避免维保服务中断导致系统故障、数据安全风险或业务停滞，经研究，拟采购医院HIS系统维保服务。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2、谈判保证金交纳凭证：谈判保证金交纳凭证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樊英武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0913-4734003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渭南市华州区人民医院</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渭南市华州区人民医院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为确保HIS系统持续稳定运行、数据安全合规，避免维保服务中断导致系统故障、数据安全风险或业务停滞，经研究，拟采购医院HIS系统维保服务。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HIS系统维保服务项目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标的名称：HIS系统维保服务项目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1、系统日常运行监控与故障排除（7x24小时应急响应）</w:t>
            </w:r>
          </w:p>
          <w:p>
            <w:pPr>
              <w:pStyle w:val="null3"/>
            </w:pPr>
            <w:r>
              <w:rPr>
                <w:rFonts w:ascii="仿宋_GB2312" w:hAnsi="仿宋_GB2312" w:cs="仿宋_GB2312" w:eastAsia="仿宋_GB2312"/>
                <w:sz w:val="21"/>
              </w:rPr>
              <w:t>针对系统的日常运行有监管功能，记录日常操作日志，发现故障后可回溯追踪，并及时排除故障点。</w:t>
            </w:r>
          </w:p>
          <w:p>
            <w:pPr>
              <w:pStyle w:val="null3"/>
            </w:pPr>
            <w:r>
              <w:rPr>
                <w:rFonts w:ascii="仿宋_GB2312" w:hAnsi="仿宋_GB2312" w:cs="仿宋_GB2312" w:eastAsia="仿宋_GB2312"/>
                <w:sz w:val="21"/>
              </w:rPr>
              <w:t>2、系统性能优化与调优。</w:t>
            </w:r>
          </w:p>
          <w:p>
            <w:pPr>
              <w:pStyle w:val="null3"/>
            </w:pPr>
            <w:r>
              <w:rPr>
                <w:rFonts w:ascii="仿宋_GB2312" w:hAnsi="仿宋_GB2312" w:cs="仿宋_GB2312" w:eastAsia="仿宋_GB2312"/>
                <w:sz w:val="21"/>
              </w:rPr>
              <w:t>根据政策调整以及本系统的升级，及时对院内系统更新优化，以适应医院需求。</w:t>
            </w:r>
          </w:p>
          <w:p>
            <w:pPr>
              <w:pStyle w:val="null3"/>
            </w:pPr>
            <w:r>
              <w:rPr>
                <w:rFonts w:ascii="仿宋_GB2312" w:hAnsi="仿宋_GB2312" w:cs="仿宋_GB2312" w:eastAsia="仿宋_GB2312"/>
                <w:sz w:val="21"/>
              </w:rPr>
              <w:t>3、系统补丁更新与漏洞修复。</w:t>
            </w:r>
          </w:p>
          <w:p>
            <w:pPr>
              <w:pStyle w:val="null3"/>
            </w:pPr>
            <w:r>
              <w:rPr>
                <w:rFonts w:ascii="仿宋_GB2312" w:hAnsi="仿宋_GB2312" w:cs="仿宋_GB2312" w:eastAsia="仿宋_GB2312"/>
                <w:sz w:val="21"/>
              </w:rPr>
              <w:t>日常运行以及每次升级后及时更新补丁，对发现的系统漏洞积极处理，保障系统平稳运行。</w:t>
            </w:r>
          </w:p>
          <w:p>
            <w:pPr>
              <w:pStyle w:val="null3"/>
            </w:pPr>
            <w:r>
              <w:rPr>
                <w:rFonts w:ascii="仿宋_GB2312" w:hAnsi="仿宋_GB2312" w:cs="仿宋_GB2312" w:eastAsia="仿宋_GB2312"/>
                <w:sz w:val="21"/>
              </w:rPr>
              <w:t>4、数据库维护与优化。</w:t>
            </w:r>
          </w:p>
          <w:p>
            <w:pPr>
              <w:pStyle w:val="null3"/>
            </w:pPr>
            <w:r>
              <w:rPr>
                <w:rFonts w:ascii="仿宋_GB2312" w:hAnsi="仿宋_GB2312" w:cs="仿宋_GB2312" w:eastAsia="仿宋_GB2312"/>
                <w:sz w:val="21"/>
              </w:rPr>
              <w:t>定期对系统数据库进行维护检查，根据产品更新及时维护。</w:t>
            </w:r>
          </w:p>
          <w:p>
            <w:pPr>
              <w:pStyle w:val="null3"/>
            </w:pPr>
            <w:r>
              <w:rPr>
                <w:rFonts w:ascii="仿宋_GB2312" w:hAnsi="仿宋_GB2312" w:cs="仿宋_GB2312" w:eastAsia="仿宋_GB2312"/>
                <w:sz w:val="21"/>
              </w:rPr>
              <w:t>5、基础环境（操作系统、中间件等）与系统相关的协调支持。</w:t>
            </w:r>
          </w:p>
          <w:p>
            <w:pPr>
              <w:pStyle w:val="null3"/>
            </w:pPr>
            <w:r>
              <w:rPr>
                <w:rFonts w:ascii="仿宋_GB2312" w:hAnsi="仿宋_GB2312" w:cs="仿宋_GB2312" w:eastAsia="仿宋_GB2312"/>
                <w:sz w:val="21"/>
              </w:rPr>
              <w:t>提供稳定的操作环境，使用的信息系统间产生的各类对接问题，信息科发现上报后及时解决。</w:t>
            </w:r>
          </w:p>
          <w:p>
            <w:pPr>
              <w:pStyle w:val="null3"/>
            </w:pPr>
            <w:r>
              <w:rPr>
                <w:rFonts w:ascii="仿宋_GB2312" w:hAnsi="仿宋_GB2312" w:cs="仿宋_GB2312" w:eastAsia="仿宋_GB2312"/>
                <w:sz w:val="21"/>
              </w:rPr>
              <w:t>6、操作指导与技术支持。</w:t>
            </w:r>
          </w:p>
          <w:p>
            <w:pPr>
              <w:pStyle w:val="null3"/>
            </w:pPr>
            <w:r>
              <w:rPr>
                <w:rFonts w:ascii="仿宋_GB2312" w:hAnsi="仿宋_GB2312" w:cs="仿宋_GB2312" w:eastAsia="仿宋_GB2312"/>
                <w:sz w:val="21"/>
              </w:rPr>
              <w:t>针对系统使用日常所产生的问题，需提供专业的技术支持，及时解决问题。当发现业务流程错误、操作不当等行为时，应及时予以指导订正。提供日常问题的对接处理平台。</w:t>
            </w:r>
          </w:p>
          <w:p>
            <w:pPr>
              <w:pStyle w:val="null3"/>
            </w:pPr>
            <w:r>
              <w:rPr>
                <w:rFonts w:ascii="仿宋_GB2312" w:hAnsi="仿宋_GB2312" w:cs="仿宋_GB2312" w:eastAsia="仿宋_GB2312"/>
                <w:sz w:val="21"/>
              </w:rPr>
              <w:t>7、重大节假日或活动期间的技术保障。</w:t>
            </w:r>
          </w:p>
          <w:p>
            <w:pPr>
              <w:pStyle w:val="null3"/>
            </w:pPr>
            <w:r>
              <w:rPr>
                <w:rFonts w:ascii="仿宋_GB2312" w:hAnsi="仿宋_GB2312" w:cs="仿宋_GB2312" w:eastAsia="仿宋_GB2312"/>
                <w:sz w:val="21"/>
              </w:rPr>
              <w:t>周内双休和大小法定节假日期间，需提供可联系的技术支撑，以应对突发情况，且国庆、春节等长假前需派人对核心业务进行询价，排除隐患。</w:t>
            </w:r>
          </w:p>
          <w:p>
            <w:pPr>
              <w:pStyle w:val="null3"/>
            </w:pPr>
            <w:r>
              <w:rPr>
                <w:rFonts w:ascii="仿宋_GB2312" w:hAnsi="仿宋_GB2312" w:cs="仿宋_GB2312" w:eastAsia="仿宋_GB2312"/>
                <w:sz w:val="21"/>
              </w:rPr>
              <w:t>8、系统操作手册、技术文档更新。</w:t>
            </w:r>
          </w:p>
          <w:p>
            <w:pPr>
              <w:pStyle w:val="null3"/>
            </w:pPr>
            <w:r>
              <w:rPr>
                <w:rFonts w:ascii="仿宋_GB2312" w:hAnsi="仿宋_GB2312" w:cs="仿宋_GB2312" w:eastAsia="仿宋_GB2312"/>
                <w:sz w:val="21"/>
              </w:rPr>
              <w:t>系统有新增功能模块和业务操作调整后，及时对使用、维护部门培训，协助院内快速掌握，配备相对应的操作说明。</w:t>
            </w:r>
          </w:p>
          <w:p>
            <w:pPr>
              <w:pStyle w:val="null3"/>
            </w:pPr>
            <w:r>
              <w:rPr>
                <w:rFonts w:ascii="仿宋_GB2312" w:hAnsi="仿宋_GB2312" w:cs="仿宋_GB2312" w:eastAsia="仿宋_GB2312"/>
                <w:sz w:val="21"/>
              </w:rPr>
              <w:t>9、一定范围内的系统功能微调或适应性修改。</w:t>
            </w:r>
          </w:p>
          <w:p>
            <w:pPr>
              <w:pStyle w:val="null3"/>
            </w:pPr>
            <w:r>
              <w:rPr>
                <w:rFonts w:ascii="仿宋_GB2312" w:hAnsi="仿宋_GB2312" w:cs="仿宋_GB2312" w:eastAsia="仿宋_GB2312"/>
                <w:sz w:val="21"/>
              </w:rPr>
              <w:t>根据院内流程及临床使用情况，对系统功能方面进行适当调整，以提高工作效率，提升服务质量。</w:t>
            </w:r>
          </w:p>
          <w:p>
            <w:pPr>
              <w:pStyle w:val="null3"/>
            </w:pPr>
            <w:r>
              <w:rPr>
                <w:rFonts w:ascii="仿宋_GB2312" w:hAnsi="仿宋_GB2312" w:cs="仿宋_GB2312" w:eastAsia="仿宋_GB2312"/>
                <w:sz w:val="21"/>
              </w:rPr>
              <w:t>10、院内各系统、各设备之间的数据对接，以及响应上级各类政策类接口。</w:t>
            </w:r>
          </w:p>
          <w:p>
            <w:pPr>
              <w:pStyle w:val="null3"/>
            </w:pPr>
            <w:r>
              <w:rPr>
                <w:rFonts w:ascii="仿宋_GB2312" w:hAnsi="仿宋_GB2312" w:cs="仿宋_GB2312" w:eastAsia="仿宋_GB2312"/>
                <w:sz w:val="21"/>
              </w:rPr>
              <w:t>包含院内所有检验、检查设备等与HIS、LIS、pacs系统接口对接，以及上级部门所要求的政策类接口，且根据使用情况随时调整。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按季度支付服务费，经采购人对服务质量进行考核合格后，采购人每季度末以银行转账的方式支付上季度服务费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按季度支付服务费，经采购人对服务质量进行考核合格后，采购人每季度末以银行转账的方式支付上季度服务费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按季度支付服务费，经采购人对服务质量进行考核合格后，采购人每季度末以银行转账的方式支付上季度服务费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按季度支付服务费，经采购人对服务质量进行考核合格后，采购人每季度末以银行转账的方式支付上季度服务费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（政府采购二十二条）+拒绝贿赂承诺书+授权委托书+信用信息.docx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供应商应提交的相关资格证明材料 （政府采购二十二条）+拒绝贿赂承诺书+授权委托书+信用信息.docx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谈判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谈判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供应商应提交的相关资格证明材料 （政府采购二十二条）+拒绝贿赂承诺书+授权委托书+信用信息.docx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供应商应提交的相关资格证明材料 （政府采购二十二条）+拒绝贿赂承诺书+授权委托书+信用信息.docx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供应商应提交的相关资格证明材料 （政府采购二十二条）+拒绝贿赂承诺书+授权委托书+信用信息.docx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（政府采购二十二条）+拒绝贿赂承诺书+授权委托书+信用信息.docx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谈判保证金交纳凭证</w:t>
            </w:r>
          </w:p>
        </w:tc>
        <w:tc>
          <w:tcPr>
            <w:tcW w:type="dxa" w:w="3322"/>
          </w:tcPr>
          <w:p>
            <w:pPr>
              <w:pStyle w:val="null3"/>
            </w:pPr>
            <w:r>
              <w:rPr>
                <w:rFonts w:ascii="仿宋_GB2312" w:hAnsi="仿宋_GB2312" w:cs="仿宋_GB2312" w:eastAsia="仿宋_GB2312"/>
              </w:rPr>
              <w:t>谈判保证金交纳凭证</w:t>
            </w:r>
          </w:p>
        </w:tc>
        <w:tc>
          <w:tcPr>
            <w:tcW w:type="dxa" w:w="1661"/>
          </w:tcPr>
          <w:p>
            <w:pPr>
              <w:pStyle w:val="null3"/>
            </w:pPr>
            <w:r>
              <w:rPr>
                <w:rFonts w:ascii="仿宋_GB2312" w:hAnsi="仿宋_GB2312" w:cs="仿宋_GB2312" w:eastAsia="仿宋_GB2312"/>
              </w:rPr>
              <w:t>（政府采购二十二条）+拒绝贿赂承诺书+授权委托书+信用信息.docx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（政府采购二十二条）+拒绝贿赂承诺书+授权委托书+信用信息.docx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（政府采购二十二条）+拒绝贿赂承诺书+授权委托书+信用信息.docx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（政府采购二十二条）+拒绝贿赂承诺书+授权委托书+信用信息.docx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（政府采购二十二条）+拒绝贿赂承诺书+授权委托书+信用信息.docx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（政府采购二十二条）+拒绝贿赂承诺书+授权委托书+信用信息.docx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详见附件：（政府采购二十二条）+拒绝贿赂承诺书+授权委托书+信用信息.docx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