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879E1">
      <w:pPr>
        <w:pStyle w:val="2"/>
        <w:pageBreakBefore w:val="0"/>
        <w:kinsoku/>
        <w:wordWrap/>
        <w:overflowPunct/>
        <w:bidi w:val="0"/>
        <w:ind w:left="0" w:leftChars="0" w:firstLine="0" w:firstLineChars="0"/>
        <w:jc w:val="center"/>
        <w:outlineLvl w:val="9"/>
        <w:rPr>
          <w:rFonts w:hint="eastAsia"/>
          <w:b/>
          <w:bCs/>
          <w:color w:val="auto"/>
          <w:sz w:val="44"/>
          <w:szCs w:val="52"/>
          <w:lang w:eastAsia="zh-CN"/>
        </w:rPr>
      </w:pPr>
    </w:p>
    <w:p w14:paraId="4C0B1089">
      <w:pPr>
        <w:pStyle w:val="2"/>
        <w:pageBreakBefore w:val="0"/>
        <w:kinsoku/>
        <w:wordWrap/>
        <w:overflowPunct/>
        <w:bidi w:val="0"/>
        <w:ind w:left="0" w:leftChars="0" w:firstLine="0" w:firstLineChars="0"/>
        <w:jc w:val="center"/>
        <w:outlineLvl w:val="9"/>
        <w:rPr>
          <w:rFonts w:hint="eastAsia" w:ascii="宋体" w:hAnsi="宋体" w:eastAsia="宋体" w:cs="宋体"/>
          <w:b/>
          <w:bCs/>
          <w:color w:val="auto"/>
          <w:sz w:val="52"/>
          <w:szCs w:val="60"/>
          <w:lang w:eastAsia="zh-CN"/>
        </w:rPr>
      </w:pPr>
    </w:p>
    <w:p w14:paraId="5ED2D837">
      <w:pPr>
        <w:pStyle w:val="2"/>
        <w:pageBreakBefore w:val="0"/>
        <w:kinsoku/>
        <w:wordWrap/>
        <w:overflowPunct/>
        <w:bidi w:val="0"/>
        <w:ind w:left="0" w:leftChars="0" w:firstLine="0" w:firstLineChars="0"/>
        <w:jc w:val="center"/>
        <w:outlineLvl w:val="9"/>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u w:val="single"/>
          <w:lang w:val="en-US" w:eastAsia="zh-CN"/>
        </w:rPr>
        <w:t>（项目名称）</w:t>
      </w:r>
    </w:p>
    <w:p w14:paraId="1AF3F784">
      <w:pPr>
        <w:pStyle w:val="2"/>
        <w:pageBreakBefore w:val="0"/>
        <w:kinsoku/>
        <w:wordWrap/>
        <w:overflowPunct/>
        <w:bidi w:val="0"/>
        <w:jc w:val="center"/>
        <w:outlineLvl w:val="9"/>
        <w:rPr>
          <w:rFonts w:hint="eastAsia" w:ascii="宋体" w:hAnsi="宋体" w:eastAsia="宋体" w:cs="宋体"/>
          <w:color w:val="auto"/>
        </w:rPr>
      </w:pPr>
    </w:p>
    <w:p w14:paraId="27AE3573">
      <w:pPr>
        <w:pStyle w:val="2"/>
        <w:pageBreakBefore w:val="0"/>
        <w:kinsoku/>
        <w:wordWrap/>
        <w:overflowPunct/>
        <w:bidi w:val="0"/>
        <w:jc w:val="center"/>
        <w:outlineLvl w:val="9"/>
        <w:rPr>
          <w:rFonts w:hint="eastAsia" w:ascii="宋体" w:hAnsi="宋体" w:eastAsia="宋体" w:cs="宋体"/>
          <w:color w:val="auto"/>
        </w:rPr>
      </w:pPr>
    </w:p>
    <w:p w14:paraId="1C0115F8">
      <w:pPr>
        <w:pStyle w:val="2"/>
        <w:pageBreakBefore w:val="0"/>
        <w:kinsoku/>
        <w:wordWrap/>
        <w:overflowPunct/>
        <w:bidi w:val="0"/>
        <w:jc w:val="center"/>
        <w:outlineLvl w:val="9"/>
        <w:rPr>
          <w:rFonts w:hint="eastAsia" w:ascii="宋体" w:hAnsi="宋体" w:eastAsia="宋体" w:cs="宋体"/>
          <w:color w:val="auto"/>
        </w:rPr>
      </w:pPr>
    </w:p>
    <w:p w14:paraId="60239676">
      <w:pPr>
        <w:pageBreakBefore w:val="0"/>
        <w:kinsoku/>
        <w:wordWrap/>
        <w:overflowPunct/>
        <w:bidi w:val="0"/>
        <w:spacing w:line="360" w:lineRule="auto"/>
        <w:jc w:val="center"/>
        <w:outlineLvl w:val="9"/>
        <w:rPr>
          <w:rFonts w:hint="eastAsia" w:ascii="宋体" w:hAnsi="宋体" w:eastAsia="宋体" w:cs="宋体"/>
          <w:b/>
          <w:bCs/>
          <w:color w:val="auto"/>
          <w:spacing w:val="12"/>
          <w:sz w:val="48"/>
          <w:szCs w:val="48"/>
        </w:rPr>
      </w:pPr>
      <w:r>
        <w:rPr>
          <w:rFonts w:hint="eastAsia" w:ascii="宋体" w:hAnsi="宋体" w:eastAsia="宋体" w:cs="宋体"/>
          <w:b/>
          <w:bCs/>
          <w:color w:val="auto"/>
          <w:spacing w:val="12"/>
          <w:sz w:val="48"/>
          <w:szCs w:val="48"/>
        </w:rPr>
        <w:t>合</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同</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书</w:t>
      </w:r>
    </w:p>
    <w:p w14:paraId="4A1F3895">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p>
    <w:p w14:paraId="337AD95E">
      <w:pPr>
        <w:pStyle w:val="2"/>
        <w:pageBreakBefore w:val="0"/>
        <w:kinsoku/>
        <w:wordWrap/>
        <w:overflowPunct/>
        <w:bidi w:val="0"/>
        <w:jc w:val="center"/>
        <w:outlineLvl w:val="9"/>
        <w:rPr>
          <w:rFonts w:hint="eastAsia" w:ascii="宋体" w:hAnsi="宋体" w:eastAsia="宋体" w:cs="宋体"/>
          <w:color w:val="auto"/>
          <w:spacing w:val="12"/>
        </w:rPr>
      </w:pPr>
    </w:p>
    <w:p w14:paraId="6A0D8F93">
      <w:pPr>
        <w:pStyle w:val="2"/>
        <w:pageBreakBefore w:val="0"/>
        <w:kinsoku/>
        <w:wordWrap/>
        <w:overflowPunct/>
        <w:bidi w:val="0"/>
        <w:jc w:val="center"/>
        <w:outlineLvl w:val="9"/>
        <w:rPr>
          <w:rFonts w:hint="eastAsia" w:ascii="宋体" w:hAnsi="宋体" w:eastAsia="宋体" w:cs="宋体"/>
          <w:color w:val="auto"/>
          <w:spacing w:val="12"/>
        </w:rPr>
      </w:pPr>
    </w:p>
    <w:p w14:paraId="4312EB2D">
      <w:pPr>
        <w:pStyle w:val="4"/>
        <w:pageBreakBefore w:val="0"/>
        <w:kinsoku/>
        <w:wordWrap/>
        <w:overflowPunct/>
        <w:bidi w:val="0"/>
        <w:ind w:firstLine="0"/>
        <w:jc w:val="center"/>
        <w:outlineLvl w:val="9"/>
        <w:rPr>
          <w:rFonts w:hint="eastAsia" w:ascii="宋体" w:hAnsi="宋体" w:eastAsia="宋体" w:cs="宋体"/>
          <w:color w:val="auto"/>
          <w:spacing w:val="12"/>
          <w:sz w:val="32"/>
          <w:szCs w:val="32"/>
        </w:rPr>
      </w:pPr>
    </w:p>
    <w:p w14:paraId="79DDB12D">
      <w:pPr>
        <w:pageBreakBefore w:val="0"/>
        <w:kinsoku/>
        <w:wordWrap/>
        <w:overflowPunct/>
        <w:bidi w:val="0"/>
        <w:jc w:val="center"/>
        <w:outlineLvl w:val="9"/>
        <w:rPr>
          <w:rFonts w:hint="eastAsia" w:ascii="宋体" w:hAnsi="宋体" w:eastAsia="宋体" w:cs="宋体"/>
          <w:color w:val="auto"/>
        </w:rPr>
      </w:pPr>
    </w:p>
    <w:p w14:paraId="6091C1EB">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13D0C324">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0EE5ECD3">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2C5AA7AA">
      <w:pPr>
        <w:pageBreakBefore w:val="0"/>
        <w:kinsoku/>
        <w:wordWrap/>
        <w:overflowPunct/>
        <w:bidi w:val="0"/>
        <w:jc w:val="center"/>
        <w:outlineLvl w:val="9"/>
        <w:rPr>
          <w:rFonts w:hint="eastAsia" w:ascii="宋体" w:hAnsi="宋体" w:eastAsia="宋体" w:cs="宋体"/>
          <w:color w:val="auto"/>
        </w:rPr>
      </w:pPr>
    </w:p>
    <w:p w14:paraId="0BC27AA3">
      <w:pPr>
        <w:pageBreakBefore w:val="0"/>
        <w:kinsoku/>
        <w:wordWrap/>
        <w:overflowPunct/>
        <w:bidi w:val="0"/>
        <w:spacing w:line="360" w:lineRule="auto"/>
        <w:ind w:firstLine="420" w:firstLineChars="0"/>
        <w:jc w:val="both"/>
        <w:outlineLvl w:val="9"/>
        <w:rPr>
          <w:rFonts w:hint="eastAsia" w:ascii="宋体" w:hAnsi="宋体" w:eastAsia="宋体" w:cs="宋体"/>
          <w:b/>
          <w:bCs/>
          <w:color w:val="auto"/>
          <w:spacing w:val="12"/>
          <w:sz w:val="32"/>
          <w:szCs w:val="32"/>
          <w:lang w:eastAsia="zh-CN"/>
        </w:rPr>
      </w:pPr>
      <w:r>
        <w:rPr>
          <w:rFonts w:hint="eastAsia" w:ascii="宋体" w:hAnsi="宋体" w:eastAsia="宋体" w:cs="宋体"/>
          <w:b/>
          <w:bCs/>
          <w:color w:val="auto"/>
          <w:spacing w:val="12"/>
          <w:sz w:val="32"/>
          <w:szCs w:val="32"/>
        </w:rPr>
        <w:t>采购人：</w:t>
      </w:r>
      <w:r>
        <w:rPr>
          <w:rFonts w:hint="eastAsia" w:ascii="宋体" w:hAnsi="宋体" w:eastAsia="宋体" w:cs="宋体"/>
          <w:b/>
          <w:bCs/>
          <w:color w:val="auto"/>
          <w:spacing w:val="12"/>
          <w:sz w:val="32"/>
          <w:szCs w:val="32"/>
          <w:lang w:eastAsia="zh-CN"/>
        </w:rPr>
        <w:t>渭南市华州区人民医院</w:t>
      </w:r>
    </w:p>
    <w:p w14:paraId="44C4B47A">
      <w:pPr>
        <w:pageBreakBefore w:val="0"/>
        <w:kinsoku/>
        <w:wordWrap/>
        <w:overflowPunct/>
        <w:bidi w:val="0"/>
        <w:spacing w:line="360" w:lineRule="auto"/>
        <w:ind w:firstLine="420" w:firstLineChars="0"/>
        <w:jc w:val="both"/>
        <w:outlineLvl w:val="9"/>
        <w:rPr>
          <w:rFonts w:hint="eastAsia" w:ascii="宋体" w:hAnsi="宋体" w:eastAsia="宋体" w:cs="宋体"/>
          <w:b/>
          <w:bCs/>
          <w:color w:val="auto"/>
          <w:spacing w:val="12"/>
          <w:sz w:val="32"/>
          <w:szCs w:val="32"/>
        </w:rPr>
      </w:pPr>
      <w:r>
        <w:rPr>
          <w:rFonts w:hint="eastAsia" w:ascii="宋体" w:hAnsi="宋体" w:eastAsia="宋体" w:cs="宋体"/>
          <w:b/>
          <w:bCs/>
          <w:color w:val="auto"/>
          <w:spacing w:val="12"/>
          <w:sz w:val="32"/>
          <w:szCs w:val="32"/>
        </w:rPr>
        <w:t>供应商：</w:t>
      </w:r>
    </w:p>
    <w:p w14:paraId="5DC5A8B7">
      <w:pPr>
        <w:pageBreakBefore w:val="0"/>
        <w:kinsoku/>
        <w:wordWrap/>
        <w:overflowPunct/>
        <w:bidi w:val="0"/>
        <w:spacing w:line="360" w:lineRule="auto"/>
        <w:jc w:val="center"/>
        <w:outlineLvl w:val="9"/>
        <w:rPr>
          <w:rFonts w:hint="eastAsia"/>
          <w:color w:val="auto"/>
          <w:sz w:val="24"/>
          <w:lang w:val="en-US" w:eastAsia="zh-CN"/>
        </w:rPr>
      </w:pPr>
      <w:r>
        <w:rPr>
          <w:rFonts w:hint="eastAsia"/>
          <w:color w:val="auto"/>
          <w:sz w:val="24"/>
          <w:lang w:val="en-US" w:eastAsia="zh-CN"/>
        </w:rPr>
        <w:br w:type="page"/>
      </w:r>
    </w:p>
    <w:p w14:paraId="0686CD08">
      <w:pPr>
        <w:pageBreakBefore w:val="0"/>
        <w:kinsoku/>
        <w:wordWrap/>
        <w:overflowPunct/>
        <w:bidi w:val="0"/>
        <w:spacing w:line="360" w:lineRule="auto"/>
        <w:outlineLvl w:val="9"/>
        <w:rPr>
          <w:rFonts w:hint="eastAsia"/>
          <w:color w:val="auto"/>
          <w:sz w:val="24"/>
          <w:szCs w:val="24"/>
        </w:rPr>
      </w:pPr>
      <w:r>
        <w:rPr>
          <w:rFonts w:hint="eastAsia"/>
          <w:color w:val="auto"/>
          <w:sz w:val="24"/>
          <w:szCs w:val="24"/>
          <w:lang w:val="en-US" w:eastAsia="zh-CN"/>
        </w:rPr>
        <w:t>签</w:t>
      </w:r>
      <w:r>
        <w:rPr>
          <w:rFonts w:hint="eastAsia"/>
          <w:color w:val="auto"/>
          <w:sz w:val="24"/>
          <w:szCs w:val="24"/>
        </w:rPr>
        <w:t xml:space="preserve">订地点： </w:t>
      </w:r>
    </w:p>
    <w:p w14:paraId="461A0E79">
      <w:pPr>
        <w:pageBreakBefore w:val="0"/>
        <w:kinsoku/>
        <w:wordWrap/>
        <w:overflowPunct/>
        <w:bidi w:val="0"/>
        <w:spacing w:line="360" w:lineRule="auto"/>
        <w:outlineLvl w:val="9"/>
        <w:rPr>
          <w:rFonts w:hint="eastAsia"/>
          <w:color w:val="auto"/>
          <w:sz w:val="24"/>
          <w:szCs w:val="24"/>
        </w:rPr>
      </w:pPr>
      <w:r>
        <w:rPr>
          <w:rFonts w:hint="eastAsia"/>
          <w:color w:val="auto"/>
          <w:sz w:val="24"/>
          <w:szCs w:val="24"/>
        </w:rPr>
        <w:t xml:space="preserve">项目编号：  </w:t>
      </w:r>
      <w:r>
        <w:rPr>
          <w:color w:val="auto"/>
          <w:sz w:val="24"/>
          <w:szCs w:val="24"/>
        </w:rPr>
        <w:t xml:space="preserve"> </w:t>
      </w:r>
      <w:r>
        <w:rPr>
          <w:rFonts w:hint="eastAsia"/>
          <w:color w:val="auto"/>
          <w:sz w:val="24"/>
          <w:szCs w:val="24"/>
          <w:lang w:val="en-US" w:eastAsia="zh-CN"/>
        </w:rPr>
        <w:t xml:space="preserve">                  </w:t>
      </w:r>
      <w:r>
        <w:rPr>
          <w:color w:val="auto"/>
          <w:sz w:val="24"/>
          <w:szCs w:val="24"/>
        </w:rPr>
        <w:t xml:space="preserve">         </w:t>
      </w:r>
      <w:r>
        <w:rPr>
          <w:rFonts w:hint="eastAsia"/>
          <w:color w:val="auto"/>
          <w:sz w:val="24"/>
          <w:szCs w:val="24"/>
        </w:rPr>
        <w:t xml:space="preserve">签订时间： </w:t>
      </w:r>
      <w:r>
        <w:rPr>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年 </w:t>
      </w:r>
      <w:r>
        <w:rPr>
          <w:rFonts w:hint="eastAsia"/>
          <w:color w:val="auto"/>
          <w:sz w:val="24"/>
          <w:szCs w:val="24"/>
          <w:lang w:val="en-US" w:eastAsia="zh-CN"/>
        </w:rPr>
        <w:t xml:space="preserve"> </w:t>
      </w:r>
      <w:r>
        <w:rPr>
          <w:rFonts w:hint="eastAsia"/>
          <w:color w:val="auto"/>
          <w:sz w:val="24"/>
          <w:szCs w:val="24"/>
        </w:rPr>
        <w:t xml:space="preserve"> 月</w:t>
      </w:r>
      <w:r>
        <w:rPr>
          <w:rFonts w:hint="eastAsia"/>
          <w:color w:val="auto"/>
          <w:sz w:val="24"/>
          <w:szCs w:val="24"/>
          <w:lang w:val="en-US" w:eastAsia="zh-CN"/>
        </w:rPr>
        <w:t xml:space="preserve"> </w:t>
      </w:r>
      <w:r>
        <w:rPr>
          <w:rFonts w:hint="eastAsia"/>
          <w:color w:val="auto"/>
          <w:sz w:val="24"/>
          <w:szCs w:val="24"/>
        </w:rPr>
        <w:t xml:space="preserve">  日</w:t>
      </w:r>
    </w:p>
    <w:p w14:paraId="1BCBDF5B">
      <w:pPr>
        <w:pageBreakBefore w:val="0"/>
        <w:kinsoku/>
        <w:wordWrap/>
        <w:overflowPunct/>
        <w:bidi w:val="0"/>
        <w:spacing w:line="360" w:lineRule="auto"/>
        <w:outlineLvl w:val="9"/>
        <w:rPr>
          <w:rFonts w:hint="eastAsia" w:eastAsia="宋体"/>
          <w:color w:val="auto"/>
          <w:sz w:val="24"/>
          <w:szCs w:val="24"/>
          <w:lang w:eastAsia="zh-CN"/>
        </w:rPr>
      </w:pPr>
      <w:r>
        <w:rPr>
          <w:rFonts w:hint="eastAsia"/>
          <w:color w:val="auto"/>
          <w:spacing w:val="60"/>
          <w:kern w:val="0"/>
          <w:sz w:val="24"/>
          <w:szCs w:val="24"/>
          <w:fitText w:val="960" w:id="279263694"/>
        </w:rPr>
        <w:t>采购</w:t>
      </w:r>
      <w:r>
        <w:rPr>
          <w:rFonts w:hint="eastAsia"/>
          <w:color w:val="auto"/>
          <w:spacing w:val="0"/>
          <w:kern w:val="0"/>
          <w:sz w:val="24"/>
          <w:szCs w:val="24"/>
          <w:fitText w:val="960" w:id="279263694"/>
        </w:rPr>
        <w:t>人</w:t>
      </w:r>
      <w:r>
        <w:rPr>
          <w:rFonts w:hint="eastAsia"/>
          <w:color w:val="auto"/>
          <w:sz w:val="24"/>
          <w:szCs w:val="24"/>
        </w:rPr>
        <w:t>：</w:t>
      </w:r>
    </w:p>
    <w:p w14:paraId="1E607207">
      <w:pPr>
        <w:pageBreakBefore w:val="0"/>
        <w:kinsoku/>
        <w:wordWrap/>
        <w:overflowPunct/>
        <w:bidi w:val="0"/>
        <w:spacing w:line="360" w:lineRule="auto"/>
        <w:outlineLvl w:val="9"/>
        <w:rPr>
          <w:rFonts w:hint="eastAsia"/>
          <w:color w:val="auto"/>
          <w:sz w:val="24"/>
          <w:szCs w:val="24"/>
        </w:rPr>
      </w:pPr>
      <w:r>
        <w:rPr>
          <w:rFonts w:hint="eastAsia"/>
          <w:color w:val="auto"/>
          <w:spacing w:val="60"/>
          <w:kern w:val="0"/>
          <w:sz w:val="24"/>
          <w:szCs w:val="24"/>
          <w:fitText w:val="960" w:id="1495733416"/>
        </w:rPr>
        <w:t>供应</w:t>
      </w:r>
      <w:r>
        <w:rPr>
          <w:rFonts w:hint="eastAsia"/>
          <w:color w:val="auto"/>
          <w:spacing w:val="0"/>
          <w:kern w:val="0"/>
          <w:sz w:val="24"/>
          <w:szCs w:val="24"/>
          <w:fitText w:val="960" w:id="1495733416"/>
        </w:rPr>
        <w:t>商</w:t>
      </w:r>
      <w:r>
        <w:rPr>
          <w:rFonts w:hint="eastAsia"/>
          <w:color w:val="auto"/>
          <w:sz w:val="24"/>
          <w:szCs w:val="24"/>
        </w:rPr>
        <w:t>：</w:t>
      </w:r>
    </w:p>
    <w:p w14:paraId="7A33B69B">
      <w:pPr>
        <w:pageBreakBefore w:val="0"/>
        <w:kinsoku/>
        <w:wordWrap/>
        <w:overflowPunct/>
        <w:bidi w:val="0"/>
        <w:spacing w:line="360" w:lineRule="auto"/>
        <w:outlineLvl w:val="9"/>
        <w:rPr>
          <w:rFonts w:hint="eastAsia"/>
          <w:color w:val="auto"/>
          <w:sz w:val="24"/>
          <w:szCs w:val="24"/>
        </w:rPr>
      </w:pPr>
    </w:p>
    <w:p w14:paraId="4A2A5B42">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w:t>
      </w:r>
      <w:r>
        <w:rPr>
          <w:rFonts w:hint="eastAsia" w:ascii="宋体" w:hAnsi="宋体" w:eastAsia="宋体" w:cs="宋体"/>
          <w:b/>
          <w:bCs/>
          <w:color w:val="auto"/>
          <w:sz w:val="24"/>
          <w:szCs w:val="24"/>
          <w:u w:val="single"/>
          <w:lang w:eastAsia="zh-CN"/>
        </w:rPr>
        <w:t>（项目名称）</w:t>
      </w:r>
      <w:r>
        <w:rPr>
          <w:rFonts w:hint="eastAsia" w:ascii="宋体" w:hAnsi="宋体" w:eastAsia="宋体" w:cs="宋体"/>
          <w:color w:val="auto"/>
          <w:sz w:val="24"/>
          <w:szCs w:val="24"/>
        </w:rPr>
        <w:t>的采购结果，按照《中华人民共和国政府采购法》、《中华人民共和国民法典》等规定，经双方协商，本着平等互利和诚实信用的原则，一致同意签订本合同如下。</w:t>
      </w:r>
    </w:p>
    <w:p w14:paraId="4F4611A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一、合同文件</w:t>
      </w:r>
    </w:p>
    <w:p w14:paraId="6817D1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1、协议书条款；</w:t>
      </w:r>
    </w:p>
    <w:p w14:paraId="778CB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单一来源</w:t>
      </w:r>
      <w:r>
        <w:rPr>
          <w:rFonts w:hint="eastAsia" w:ascii="宋体" w:hAnsi="宋体" w:eastAsia="宋体" w:cs="宋体"/>
          <w:color w:val="auto"/>
          <w:sz w:val="24"/>
          <w:szCs w:val="24"/>
        </w:rPr>
        <w:t>文件；</w:t>
      </w:r>
    </w:p>
    <w:p w14:paraId="194A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单一来源</w:t>
      </w:r>
      <w:r>
        <w:rPr>
          <w:rFonts w:hint="eastAsia" w:ascii="宋体" w:hAnsi="宋体" w:eastAsia="宋体" w:cs="宋体"/>
          <w:color w:val="auto"/>
          <w:sz w:val="24"/>
          <w:szCs w:val="24"/>
        </w:rPr>
        <w:t>响应文件；</w:t>
      </w:r>
    </w:p>
    <w:p w14:paraId="2A471C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4、成交通知书；</w:t>
      </w:r>
    </w:p>
    <w:p w14:paraId="0B798E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5、其他。</w:t>
      </w:r>
    </w:p>
    <w:p w14:paraId="51E886DC">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上述所指合同文件应认为是互相补充和解释的，但是有模棱两可或互相矛盾之处，以其所列内容顺序为准。</w:t>
      </w:r>
    </w:p>
    <w:p w14:paraId="500C7DB5">
      <w:pPr>
        <w:pageBreakBefore w:val="0"/>
        <w:kinsoku/>
        <w:wordWrap/>
        <w:overflowPunct/>
        <w:bidi w:val="0"/>
        <w:spacing w:line="360" w:lineRule="auto"/>
        <w:ind w:firstLine="482" w:firstLineChars="200"/>
        <w:outlineLvl w:val="9"/>
        <w:rPr>
          <w:rFonts w:hint="eastAsia" w:ascii="宋体" w:hAnsi="宋体" w:eastAsia="宋体" w:cs="宋体"/>
          <w:b/>
          <w:bCs/>
          <w:color w:val="auto"/>
          <w:sz w:val="24"/>
          <w:szCs w:val="24"/>
        </w:rPr>
      </w:pPr>
      <w:bookmarkStart w:id="0" w:name="_Toc9090"/>
      <w:r>
        <w:rPr>
          <w:rFonts w:hint="eastAsia" w:ascii="宋体" w:hAnsi="宋体" w:eastAsia="宋体" w:cs="宋体"/>
          <w:b/>
          <w:bCs/>
          <w:color w:val="auto"/>
          <w:sz w:val="24"/>
          <w:szCs w:val="24"/>
        </w:rPr>
        <w:t>二、合同价款</w:t>
      </w:r>
      <w:bookmarkEnd w:id="0"/>
    </w:p>
    <w:p w14:paraId="4BFF0E4E">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合同总价款为</w:t>
      </w:r>
      <w:r>
        <w:rPr>
          <w:rFonts w:hint="eastAsia" w:ascii="宋体" w:hAnsi="宋体" w:eastAsia="宋体" w:cs="宋体"/>
          <w:b/>
          <w:bCs/>
          <w:color w:val="auto"/>
          <w:sz w:val="24"/>
          <w:szCs w:val="24"/>
        </w:rPr>
        <w:t>人民币（大写）</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u w:val="single"/>
          <w:lang w:val="en-US" w:eastAsia="zh-CN"/>
        </w:rPr>
        <w:t xml:space="preserve">    元</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rPr>
        <w:t>）。</w:t>
      </w:r>
    </w:p>
    <w:p w14:paraId="1F488DCA">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lang w:val="en-US" w:eastAsia="zh-CN"/>
        </w:rPr>
        <w:t>2、</w:t>
      </w:r>
      <w:r>
        <w:rPr>
          <w:rFonts w:hint="eastAsia" w:ascii="宋体" w:hAnsi="宋体" w:eastAsia="宋体" w:cs="宋体"/>
          <w:color w:val="auto"/>
          <w:kern w:val="0"/>
          <w:sz w:val="24"/>
          <w:szCs w:val="24"/>
        </w:rPr>
        <w:t>合同总价款是指完成本次活动包括所有的对接费、人工费、调试费、培训费、验收费、管理费、保险费等采购文件明示及暗示的完成本次服务的所有费用，服务期内采购人不再增加任何费用。</w:t>
      </w:r>
    </w:p>
    <w:p w14:paraId="4EB9065A">
      <w:pPr>
        <w:pageBreakBefore w:val="0"/>
        <w:kinsoku/>
        <w:wordWrap/>
        <w:overflowPunct/>
        <w:bidi w:val="0"/>
        <w:spacing w:line="360" w:lineRule="auto"/>
        <w:ind w:firstLine="480" w:firstLineChars="200"/>
        <w:outlineLvl w:val="9"/>
        <w:rPr>
          <w:rFonts w:hint="eastAsia"/>
          <w:color w:val="auto"/>
          <w:sz w:val="24"/>
          <w:szCs w:val="24"/>
          <w:highlight w:val="no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合同</w:t>
      </w:r>
      <w:r>
        <w:rPr>
          <w:rFonts w:hint="eastAsia"/>
          <w:color w:val="auto"/>
          <w:sz w:val="24"/>
          <w:szCs w:val="24"/>
        </w:rPr>
        <w:t>总价一次性</w:t>
      </w:r>
      <w:r>
        <w:rPr>
          <w:rFonts w:hint="eastAsia"/>
          <w:color w:val="auto"/>
          <w:sz w:val="24"/>
          <w:szCs w:val="24"/>
          <w:highlight w:val="none"/>
        </w:rPr>
        <w:t>包死，不受市场价格变化因素的影响。</w:t>
      </w:r>
      <w:bookmarkStart w:id="1" w:name="_Toc5628"/>
    </w:p>
    <w:p w14:paraId="1932718A">
      <w:pPr>
        <w:pageBreakBefore w:val="0"/>
        <w:kinsoku/>
        <w:wordWrap/>
        <w:overflowPunct/>
        <w:bidi w:val="0"/>
        <w:spacing w:line="360" w:lineRule="auto"/>
        <w:ind w:firstLine="482" w:firstLineChars="200"/>
        <w:outlineLvl w:val="9"/>
        <w:rPr>
          <w:b/>
          <w:color w:val="auto"/>
          <w:sz w:val="24"/>
          <w:szCs w:val="24"/>
          <w:highlight w:val="none"/>
        </w:rPr>
      </w:pPr>
      <w:r>
        <w:rPr>
          <w:rFonts w:hint="eastAsia"/>
          <w:b/>
          <w:color w:val="auto"/>
          <w:sz w:val="24"/>
          <w:szCs w:val="24"/>
          <w:highlight w:val="none"/>
        </w:rPr>
        <w:t>三、款项结算</w:t>
      </w:r>
      <w:bookmarkEnd w:id="1"/>
    </w:p>
    <w:p w14:paraId="3DF373A3">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ab/>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合同价款的支付：</w:t>
      </w:r>
    </w:p>
    <w:p w14:paraId="5127358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按季度支付服务费，经采购人对服务质量进行考核合格后，采购人每季度末以银行转账的方式支付上季度服务费。</w:t>
      </w:r>
    </w:p>
    <w:p w14:paraId="1A90B9EC">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2、结算方式：银行转账。</w:t>
      </w:r>
    </w:p>
    <w:p w14:paraId="545CA20D">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支付方式：由采购人负责结算，合同签订后，供应商在接受付款前，开具等额发票给采购人。</w:t>
      </w:r>
    </w:p>
    <w:p w14:paraId="1A8CBE14">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default" w:ascii="宋体" w:hAnsi="宋体" w:cs="宋体"/>
          <w:color w:val="auto"/>
          <w:kern w:val="0"/>
          <w:sz w:val="24"/>
          <w:szCs w:val="24"/>
          <w:lang w:val="en-US"/>
        </w:rPr>
      </w:pPr>
      <w:r>
        <w:rPr>
          <w:rFonts w:hint="eastAsia" w:ascii="宋体" w:hAnsi="宋体" w:cs="宋体"/>
          <w:color w:val="auto"/>
          <w:kern w:val="0"/>
          <w:sz w:val="24"/>
          <w:szCs w:val="24"/>
          <w:lang w:val="en-US" w:eastAsia="zh-CN"/>
        </w:rPr>
        <w:t>4、供应商银行账户信息</w:t>
      </w:r>
    </w:p>
    <w:p w14:paraId="4896D4C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ab/>
      </w:r>
      <w:r>
        <w:rPr>
          <w:rFonts w:hint="eastAsia" w:ascii="宋体" w:hAnsi="宋体" w:cs="宋体"/>
          <w:color w:val="auto"/>
          <w:kern w:val="0"/>
          <w:sz w:val="24"/>
          <w:szCs w:val="24"/>
          <w:lang w:val="en-US" w:eastAsia="zh-CN"/>
        </w:rPr>
        <w:t>开户银行：</w:t>
      </w:r>
    </w:p>
    <w:p w14:paraId="2EBE20F5">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ab/>
      </w:r>
      <w:r>
        <w:rPr>
          <w:rFonts w:hint="eastAsia" w:ascii="宋体" w:hAnsi="宋体" w:cs="宋体"/>
          <w:color w:val="auto"/>
          <w:kern w:val="0"/>
          <w:sz w:val="24"/>
          <w:szCs w:val="24"/>
          <w:lang w:val="en-US" w:eastAsia="zh-CN"/>
        </w:rPr>
        <w:t>银行账号：</w:t>
      </w:r>
    </w:p>
    <w:p w14:paraId="5933F98E">
      <w:pPr>
        <w:pageBreakBefore w:val="0"/>
        <w:kinsoku/>
        <w:wordWrap/>
        <w:overflowPunct/>
        <w:bidi w:val="0"/>
        <w:spacing w:line="360" w:lineRule="auto"/>
        <w:ind w:firstLine="482" w:firstLineChars="200"/>
        <w:outlineLvl w:val="9"/>
        <w:rPr>
          <w:b/>
          <w:color w:val="auto"/>
          <w:sz w:val="24"/>
          <w:szCs w:val="24"/>
        </w:rPr>
      </w:pPr>
      <w:bookmarkStart w:id="2" w:name="_Toc12029"/>
      <w:r>
        <w:rPr>
          <w:rFonts w:hint="eastAsia"/>
          <w:b/>
          <w:color w:val="auto"/>
          <w:sz w:val="24"/>
          <w:szCs w:val="24"/>
        </w:rPr>
        <w:t>四、服务地点及</w:t>
      </w:r>
      <w:r>
        <w:rPr>
          <w:rFonts w:hint="eastAsia"/>
          <w:b/>
          <w:color w:val="auto"/>
          <w:sz w:val="24"/>
          <w:szCs w:val="24"/>
          <w:lang w:val="en-US" w:eastAsia="zh-CN"/>
        </w:rPr>
        <w:t>服务</w:t>
      </w:r>
      <w:r>
        <w:rPr>
          <w:rFonts w:hint="eastAsia"/>
          <w:b/>
          <w:color w:val="auto"/>
          <w:sz w:val="24"/>
          <w:szCs w:val="24"/>
        </w:rPr>
        <w:t>期</w:t>
      </w:r>
      <w:bookmarkEnd w:id="2"/>
    </w:p>
    <w:p w14:paraId="2C690C1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服务地点：</w:t>
      </w:r>
    </w:p>
    <w:p w14:paraId="65514DB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yellow"/>
          <w:lang w:val="en-US" w:eastAsia="zh-CN"/>
        </w:rPr>
      </w:pPr>
      <w:r>
        <w:rPr>
          <w:rFonts w:hint="eastAsia" w:ascii="宋体" w:hAnsi="宋体" w:eastAsia="宋体" w:cs="宋体"/>
          <w:color w:val="auto"/>
          <w:kern w:val="0"/>
          <w:sz w:val="24"/>
          <w:szCs w:val="24"/>
          <w:lang w:val="en-US" w:eastAsia="zh-CN"/>
        </w:rPr>
        <w:t>2、服务期：</w:t>
      </w:r>
    </w:p>
    <w:p w14:paraId="78325CAD">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五、技术资料</w:t>
      </w:r>
    </w:p>
    <w:p w14:paraId="1B934B82">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供应商应按采购文件响应的时间向采购人提供完成项目的有关服务资料。</w:t>
      </w:r>
    </w:p>
    <w:p w14:paraId="4C85D49E">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没有采购人事先书面同意，供应商不得将由采购人提供的有关合同或任何合同条文、规格、计划、样品或资料提供给与履行本合同无关的其他任何人。即使向履行本合同有关的人员提供，也应注意保密并限于履行合同的必需范围。</w:t>
      </w:r>
    </w:p>
    <w:p w14:paraId="631C0F11">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六、技术情报的保密</w:t>
      </w:r>
    </w:p>
    <w:p w14:paraId="284A108D">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甲乙双方商定，供应商取得的所有原始技术资料在工作结束后交还采购人，供应商不得对外泄露。</w:t>
      </w:r>
    </w:p>
    <w:p w14:paraId="12172D1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课题研究工作</w:t>
      </w:r>
      <w:r>
        <w:rPr>
          <w:rFonts w:hint="eastAsia" w:ascii="宋体" w:hAnsi="宋体" w:eastAsia="宋体" w:cs="宋体"/>
          <w:color w:val="auto"/>
          <w:kern w:val="0"/>
          <w:sz w:val="24"/>
          <w:szCs w:val="24"/>
        </w:rPr>
        <w:t>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159F63C2">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七、转或分包</w:t>
      </w:r>
    </w:p>
    <w:p w14:paraId="090A72D1">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本合同范围的项目服务内容，应由供应商直接服务，不得转让他人；</w:t>
      </w:r>
    </w:p>
    <w:p w14:paraId="0EAB4A8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如有转让和未经采购人同意的分包行为，采购人有权解除合同，并追究供应商的违约责任。</w:t>
      </w:r>
    </w:p>
    <w:p w14:paraId="0B0B5815">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八、采购人的权利及义务</w:t>
      </w:r>
    </w:p>
    <w:p w14:paraId="43AF9DC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（一）采购人的权利</w:t>
      </w:r>
    </w:p>
    <w:p w14:paraId="20E1715D">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采购人有权向供应商询问工作进展情况及相关的内容。</w:t>
      </w:r>
    </w:p>
    <w:p w14:paraId="645150A3">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采购人有权阐述对具体问题的意见和建议。</w:t>
      </w:r>
    </w:p>
    <w:p w14:paraId="4F9B8DA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采购人有权根据项目的具体情况，要求供应商按期到项目现场勘探解决争议。</w:t>
      </w:r>
    </w:p>
    <w:p w14:paraId="10E4480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当采购人认定供应商专业人员不按合同履行其职责，或与第三人串通给采购人造成经济损失的，采购人有权要求更换专业人员，直至终止合同并要求供应商承担相应的赔偿责任。</w:t>
      </w:r>
    </w:p>
    <w:p w14:paraId="7F37E7D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（二）采购人的义务</w:t>
      </w:r>
    </w:p>
    <w:p w14:paraId="32071B8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default" w:ascii="宋体" w:hAnsi="宋体" w:eastAsia="宋体" w:cs="宋体"/>
          <w:color w:val="auto"/>
          <w:kern w:val="0"/>
          <w:sz w:val="24"/>
          <w:szCs w:val="24"/>
          <w:highlight w:val="none"/>
          <w:lang w:val="en-US"/>
        </w:rPr>
      </w:pPr>
      <w:r>
        <w:rPr>
          <w:rFonts w:hint="eastAsia" w:ascii="宋体" w:hAnsi="宋体" w:cs="宋体"/>
          <w:color w:val="auto"/>
          <w:kern w:val="0"/>
          <w:sz w:val="24"/>
          <w:szCs w:val="24"/>
          <w:highlight w:val="none"/>
          <w:lang w:val="en-US" w:eastAsia="zh-CN"/>
        </w:rPr>
        <w:t>1、课题完成后，由采购人组织专家评审会议，课题研究成果未达到采购人要求，供应商继续完善至符合采购人要求。</w:t>
      </w:r>
    </w:p>
    <w:p w14:paraId="288B688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default" w:ascii="宋体" w:hAnsi="宋体" w:eastAsia="宋体" w:cs="宋体"/>
          <w:b w:val="0"/>
          <w:bCs/>
          <w:color w:val="auto"/>
          <w:kern w:val="0"/>
          <w:sz w:val="24"/>
          <w:szCs w:val="24"/>
          <w:highlight w:val="none"/>
          <w:lang w:val="en-US" w:eastAsia="zh-CN"/>
        </w:rPr>
      </w:pPr>
      <w:r>
        <w:rPr>
          <w:rFonts w:hint="eastAsia" w:ascii="宋体" w:hAnsi="宋体" w:cs="宋体"/>
          <w:b w:val="0"/>
          <w:bCs/>
          <w:color w:val="auto"/>
          <w:kern w:val="0"/>
          <w:sz w:val="24"/>
          <w:szCs w:val="24"/>
          <w:highlight w:val="none"/>
          <w:lang w:val="en-US" w:eastAsia="zh-CN"/>
        </w:rPr>
        <w:t>2、对供应商的研究进度、阶段性成果进行监督、检查。</w:t>
      </w:r>
    </w:p>
    <w:p w14:paraId="444D90D2">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九、供应商的权利及义务</w:t>
      </w:r>
    </w:p>
    <w:p w14:paraId="0DA13BB8">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（一）供应商的权利</w:t>
      </w:r>
    </w:p>
    <w:p w14:paraId="2CA61986">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供应商</w:t>
      </w:r>
      <w:r>
        <w:rPr>
          <w:rFonts w:hint="eastAsia" w:ascii="宋体" w:hAnsi="宋体" w:cs="宋体"/>
          <w:color w:val="auto"/>
          <w:kern w:val="0"/>
          <w:sz w:val="24"/>
          <w:szCs w:val="24"/>
          <w:highlight w:val="none"/>
          <w:lang w:val="en-US" w:eastAsia="zh-CN"/>
        </w:rPr>
        <w:t>享有研究成果的署名权。</w:t>
      </w:r>
    </w:p>
    <w:p w14:paraId="4297C622">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供应商在项目实施过程中，有到项目现场勘察的权利。</w:t>
      </w:r>
    </w:p>
    <w:p w14:paraId="54797E4B">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（二）供应商的义务</w:t>
      </w:r>
    </w:p>
    <w:p w14:paraId="52BB1C34">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向采购人提供与本项目有关的资料，包括</w:t>
      </w:r>
      <w:r>
        <w:rPr>
          <w:rFonts w:hint="eastAsia" w:ascii="宋体" w:hAnsi="宋体" w:eastAsia="宋体" w:cs="宋体"/>
          <w:color w:val="auto"/>
          <w:kern w:val="0"/>
          <w:sz w:val="24"/>
          <w:szCs w:val="24"/>
          <w:lang w:val="en-US" w:eastAsia="zh-CN"/>
        </w:rPr>
        <w:t>服务</w:t>
      </w:r>
      <w:r>
        <w:rPr>
          <w:rFonts w:hint="eastAsia" w:ascii="宋体" w:hAnsi="宋体" w:eastAsia="宋体" w:cs="宋体"/>
          <w:color w:val="auto"/>
          <w:kern w:val="0"/>
          <w:sz w:val="24"/>
          <w:szCs w:val="24"/>
        </w:rPr>
        <w:t>项目人员的资质证书及承担本业务的专业人员名单、编制工作计划等，并按合同专用条件中约定的范围实施业务。</w:t>
      </w:r>
    </w:p>
    <w:p w14:paraId="7D89E34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供应商在履行本合同期间，向采购人提供与本项目有关的一切服务。</w:t>
      </w:r>
    </w:p>
    <w:p w14:paraId="1CAF3114">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在服务范围内按工作内容和要求制定详细的方案，建立服务质量标准、保证项目高质量、高标准完成。</w:t>
      </w:r>
    </w:p>
    <w:p w14:paraId="0C6F144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在项目评审期间，供应商应按照采购人的要求保证及时到项目现场实施勘验。同时，针对项目出现较大争议的情况，供应商能有效提出解决争议的方案，获得相关主管部门批复通过。</w:t>
      </w:r>
    </w:p>
    <w:p w14:paraId="3979249E">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5、项目完成后，供应商应及时向采购人提供成果资料及相关文件。</w:t>
      </w:r>
    </w:p>
    <w:p w14:paraId="32E40E63">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rPr>
        <w:t>十、服务</w:t>
      </w:r>
      <w:r>
        <w:rPr>
          <w:rFonts w:hint="eastAsia" w:ascii="宋体" w:hAnsi="宋体" w:eastAsia="宋体" w:cs="宋体"/>
          <w:b/>
          <w:color w:val="auto"/>
          <w:kern w:val="0"/>
          <w:sz w:val="24"/>
          <w:szCs w:val="24"/>
          <w:lang w:val="en-US" w:eastAsia="zh-CN"/>
        </w:rPr>
        <w:t>质量标准</w:t>
      </w:r>
    </w:p>
    <w:p w14:paraId="5B643C3F">
      <w:pPr>
        <w:pageBreakBefore w:val="0"/>
        <w:kinsoku/>
        <w:wordWrap/>
        <w:overflowPunct/>
        <w:bidi w:val="0"/>
        <w:spacing w:line="360" w:lineRule="auto"/>
        <w:ind w:firstLine="480" w:firstLineChars="200"/>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1、符合国家相关规范、规程和有关技术规定。</w:t>
      </w:r>
    </w:p>
    <w:p w14:paraId="6B9EA86F">
      <w:pPr>
        <w:pageBreakBefore w:val="0"/>
        <w:kinsoku/>
        <w:wordWrap/>
        <w:overflowPunct/>
        <w:bidi w:val="0"/>
        <w:spacing w:line="360" w:lineRule="auto"/>
        <w:ind w:firstLine="480" w:firstLineChars="200"/>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2、成果文件及质量满足相关部门的规定。</w:t>
      </w:r>
    </w:p>
    <w:p w14:paraId="0C95C5E0">
      <w:pPr>
        <w:pageBreakBefore w:val="0"/>
        <w:kinsoku/>
        <w:wordWrap/>
        <w:overflowPunct/>
        <w:bidi w:val="0"/>
        <w:spacing w:line="360" w:lineRule="auto"/>
        <w:ind w:firstLine="482" w:firstLineChars="200"/>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十一、违约责任</w:t>
      </w:r>
    </w:p>
    <w:p w14:paraId="5E3ED074">
      <w:pPr>
        <w:pageBreakBefore w:val="0"/>
        <w:kinsoku/>
        <w:wordWrap/>
        <w:overflowPunct/>
        <w:autoSpaceDE w:val="0"/>
        <w:autoSpaceDN w:val="0"/>
        <w:bidi w:val="0"/>
        <w:adjustRightInd w:val="0"/>
        <w:snapToGrid w:val="0"/>
        <w:spacing w:line="360" w:lineRule="auto"/>
        <w:ind w:firstLine="480" w:firstLineChars="200"/>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（一）</w:t>
      </w:r>
      <w:r>
        <w:rPr>
          <w:rFonts w:hint="eastAsia" w:ascii="宋体" w:hAnsi="宋体" w:eastAsia="宋体" w:cs="宋体"/>
          <w:color w:val="auto"/>
          <w:kern w:val="2"/>
          <w:sz w:val="24"/>
          <w:szCs w:val="24"/>
          <w:highlight w:val="none"/>
          <w:lang w:val="en-US" w:eastAsia="zh-CN" w:bidi="ar-SA"/>
        </w:rPr>
        <w:t>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r>
        <w:rPr>
          <w:rFonts w:hint="eastAsia" w:ascii="宋体" w:hAnsi="宋体" w:eastAsia="宋体" w:cs="宋体"/>
          <w:bCs/>
          <w:color w:val="auto"/>
          <w:sz w:val="24"/>
          <w:szCs w:val="24"/>
        </w:rPr>
        <w:t>。</w:t>
      </w:r>
    </w:p>
    <w:p w14:paraId="283757C6">
      <w:pPr>
        <w:pageBreakBefore w:val="0"/>
        <w:kinsoku/>
        <w:wordWrap/>
        <w:overflowPunct/>
        <w:autoSpaceDE w:val="0"/>
        <w:autoSpaceDN w:val="0"/>
        <w:bidi w:val="0"/>
        <w:adjustRightInd w:val="0"/>
        <w:snapToGrid w:val="0"/>
        <w:spacing w:line="360" w:lineRule="auto"/>
        <w:ind w:firstLine="480" w:firstLineChars="200"/>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（二）因供应商原因造成</w:t>
      </w:r>
      <w:r>
        <w:rPr>
          <w:rFonts w:hint="eastAsia" w:ascii="宋体" w:hAnsi="宋体" w:cs="宋体"/>
          <w:bCs/>
          <w:color w:val="auto"/>
          <w:sz w:val="24"/>
          <w:szCs w:val="24"/>
          <w:lang w:val="en-US" w:eastAsia="zh-CN"/>
        </w:rPr>
        <w:t>服务期</w:t>
      </w:r>
      <w:r>
        <w:rPr>
          <w:rFonts w:hint="eastAsia" w:ascii="宋体" w:hAnsi="宋体" w:eastAsia="宋体" w:cs="宋体"/>
          <w:bCs/>
          <w:color w:val="auto"/>
          <w:sz w:val="24"/>
          <w:szCs w:val="24"/>
        </w:rPr>
        <w:t>延误（自然灾害等不可抗力除外），采购人有权从未付款项中按每日</w:t>
      </w:r>
      <w:r>
        <w:rPr>
          <w:rFonts w:hint="eastAsia" w:ascii="宋体" w:hAnsi="宋体" w:eastAsia="宋体" w:cs="宋体"/>
          <w:bCs/>
          <w:color w:val="auto"/>
          <w:sz w:val="24"/>
          <w:szCs w:val="24"/>
          <w:lang w:val="en-US" w:eastAsia="zh-CN"/>
        </w:rPr>
        <w:t>0.5</w:t>
      </w:r>
      <w:r>
        <w:rPr>
          <w:rFonts w:hint="eastAsia" w:ascii="宋体" w:hAnsi="宋体" w:eastAsia="宋体" w:cs="宋体"/>
          <w:bCs/>
          <w:color w:val="auto"/>
          <w:sz w:val="24"/>
          <w:szCs w:val="24"/>
        </w:rPr>
        <w:t>‰合同价款扣除违约金，此违约以30日为限；若采购人未按约定时间付款，则供应商有权按每日</w:t>
      </w:r>
      <w:r>
        <w:rPr>
          <w:rFonts w:hint="eastAsia" w:ascii="宋体" w:hAnsi="宋体" w:eastAsia="宋体" w:cs="宋体"/>
          <w:bCs/>
          <w:color w:val="auto"/>
          <w:sz w:val="24"/>
          <w:szCs w:val="24"/>
          <w:lang w:val="en-US" w:eastAsia="zh-CN"/>
        </w:rPr>
        <w:t>0.5</w:t>
      </w:r>
      <w:r>
        <w:rPr>
          <w:rFonts w:hint="eastAsia" w:ascii="宋体" w:hAnsi="宋体" w:eastAsia="宋体" w:cs="宋体"/>
          <w:bCs/>
          <w:color w:val="auto"/>
          <w:sz w:val="24"/>
          <w:szCs w:val="24"/>
        </w:rPr>
        <w:t>‰合同价款收取违约金。</w:t>
      </w:r>
    </w:p>
    <w:p w14:paraId="100070C6">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十二、不可抗力事件处理</w:t>
      </w:r>
    </w:p>
    <w:p w14:paraId="036261B3">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在合同有效期内，任何一方因不可抗力事件导致不能履行合同，则合同履行期可延长，其延长期与不可抗力影响期相同。</w:t>
      </w:r>
    </w:p>
    <w:p w14:paraId="0D8E67B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不可抗力事件发生后，应立即通知对方，并寄送有关权威机构出具的证明。</w:t>
      </w:r>
    </w:p>
    <w:p w14:paraId="0CB4B0C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2"/>
          <w:sz w:val="24"/>
          <w:szCs w:val="24"/>
          <w:highlight w:val="none"/>
          <w:lang w:val="en-US" w:eastAsia="zh-CN" w:bidi="ar-SA"/>
        </w:rPr>
        <w:t>不可抗力事件延续120天以上，双方应通过友好协商，确定是否继续履行合同</w:t>
      </w:r>
      <w:r>
        <w:rPr>
          <w:rFonts w:hint="eastAsia" w:ascii="宋体" w:hAnsi="宋体" w:eastAsia="宋体" w:cs="宋体"/>
          <w:color w:val="auto"/>
          <w:kern w:val="0"/>
          <w:sz w:val="24"/>
          <w:szCs w:val="24"/>
        </w:rPr>
        <w:t>。</w:t>
      </w:r>
      <w:bookmarkStart w:id="3" w:name="_GoBack"/>
      <w:bookmarkEnd w:id="3"/>
    </w:p>
    <w:p w14:paraId="2F22D93C">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十三、诉讼</w:t>
      </w:r>
    </w:p>
    <w:p w14:paraId="20FA769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spacing w:val="-8"/>
          <w:kern w:val="0"/>
          <w:sz w:val="24"/>
          <w:szCs w:val="24"/>
        </w:rPr>
      </w:pPr>
      <w:r>
        <w:rPr>
          <w:rFonts w:hint="eastAsia" w:ascii="宋体" w:hAnsi="宋体" w:eastAsia="宋体" w:cs="宋体"/>
          <w:color w:val="auto"/>
          <w:kern w:val="2"/>
          <w:sz w:val="24"/>
          <w:szCs w:val="24"/>
          <w:highlight w:val="none"/>
          <w:lang w:val="en-US" w:eastAsia="zh-CN" w:bidi="ar-SA"/>
        </w:rPr>
        <w:t>双方在执行合同中所发生的一切争议，应通过协商解决。如协商不成，可向采购人所在地法院起诉</w:t>
      </w:r>
      <w:r>
        <w:rPr>
          <w:rFonts w:hint="eastAsia" w:ascii="宋体" w:hAnsi="宋体" w:eastAsia="宋体" w:cs="宋体"/>
          <w:color w:val="auto"/>
          <w:spacing w:val="-8"/>
          <w:kern w:val="0"/>
          <w:sz w:val="24"/>
          <w:szCs w:val="24"/>
        </w:rPr>
        <w:t>。</w:t>
      </w:r>
    </w:p>
    <w:p w14:paraId="11BEC889">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十四、合同生效及其它</w:t>
      </w:r>
    </w:p>
    <w:p w14:paraId="1883AF79">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2"/>
          <w:sz w:val="24"/>
          <w:szCs w:val="24"/>
          <w:highlight w:val="none"/>
          <w:lang w:val="en-US" w:eastAsia="zh-CN" w:bidi="ar-SA"/>
        </w:rPr>
        <w:t>本合同经采购人、供应商法定代表人或其委托人签字并加盖公章后生效</w:t>
      </w:r>
      <w:r>
        <w:rPr>
          <w:rFonts w:hint="eastAsia" w:ascii="宋体" w:hAnsi="宋体" w:eastAsia="宋体" w:cs="宋体"/>
          <w:color w:val="auto"/>
          <w:kern w:val="0"/>
          <w:sz w:val="24"/>
          <w:szCs w:val="24"/>
        </w:rPr>
        <w:t>。</w:t>
      </w:r>
    </w:p>
    <w:p w14:paraId="2402473C">
      <w:pPr>
        <w:pageBreakBefore w:val="0"/>
        <w:widowControl/>
        <w:tabs>
          <w:tab w:val="left" w:pos="0"/>
          <w:tab w:val="left" w:pos="437"/>
          <w:tab w:val="left" w:pos="1311"/>
        </w:tabs>
        <w:kinsoku/>
        <w:wordWrap/>
        <w:overflowPunct/>
        <w:bidi w:val="0"/>
        <w:adjustRightInd w:val="0"/>
        <w:snapToGrid w:val="0"/>
        <w:spacing w:line="360" w:lineRule="auto"/>
        <w:ind w:firstLine="448"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spacing w:val="-8"/>
          <w:kern w:val="0"/>
          <w:sz w:val="24"/>
          <w:szCs w:val="24"/>
        </w:rPr>
        <w:t>2、</w:t>
      </w:r>
      <w:r>
        <w:rPr>
          <w:rFonts w:hint="eastAsia" w:ascii="宋体" w:hAnsi="宋体" w:eastAsia="宋体" w:cs="宋体"/>
          <w:color w:val="auto"/>
          <w:kern w:val="2"/>
          <w:sz w:val="24"/>
          <w:szCs w:val="24"/>
          <w:highlight w:val="none"/>
          <w:lang w:val="en-US" w:eastAsia="zh-CN" w:bidi="ar-SA"/>
        </w:rPr>
        <w:t>本合同一式陆份，采购人、供应商各执贰份，其余相关部门各壹份</w:t>
      </w:r>
      <w:r>
        <w:rPr>
          <w:rFonts w:hint="eastAsia" w:ascii="宋体" w:hAnsi="宋体" w:eastAsia="宋体" w:cs="宋体"/>
          <w:color w:val="auto"/>
          <w:spacing w:val="-8"/>
          <w:kern w:val="0"/>
          <w:sz w:val="24"/>
          <w:szCs w:val="24"/>
        </w:rPr>
        <w:t>。</w:t>
      </w:r>
    </w:p>
    <w:p w14:paraId="72346B79">
      <w:pPr>
        <w:pStyle w:val="3"/>
        <w:pageBreakBefore w:val="0"/>
        <w:kinsoku/>
        <w:wordWrap/>
        <w:overflowPunct/>
        <w:bidi w:val="0"/>
        <w:spacing w:line="360" w:lineRule="auto"/>
        <w:outlineLvl w:val="9"/>
        <w:rPr>
          <w:rFonts w:hint="eastAsia" w:ascii="宋体" w:hAnsi="宋体" w:cs="宋体"/>
          <w:color w:val="auto"/>
          <w:kern w:val="0"/>
          <w:sz w:val="24"/>
          <w:szCs w:val="24"/>
        </w:rPr>
      </w:pP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1"/>
        <w:gridCol w:w="4119"/>
      </w:tblGrid>
      <w:tr w14:paraId="0683E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171" w:type="dxa"/>
            <w:vAlign w:val="center"/>
          </w:tcPr>
          <w:p w14:paraId="4665FEAB">
            <w:pPr>
              <w:pStyle w:val="3"/>
              <w:pageBreakBefore w:val="0"/>
              <w:kinsoku/>
              <w:wordWrap/>
              <w:overflowPunct/>
              <w:bidi w:val="0"/>
              <w:spacing w:line="360" w:lineRule="auto"/>
              <w:jc w:val="both"/>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rPr>
              <w:t>采购人（章）：</w:t>
            </w:r>
          </w:p>
        </w:tc>
        <w:tc>
          <w:tcPr>
            <w:tcW w:w="4119" w:type="dxa"/>
            <w:vAlign w:val="center"/>
          </w:tcPr>
          <w:p w14:paraId="1E534F8A">
            <w:pPr>
              <w:pStyle w:val="3"/>
              <w:pageBreakBefore w:val="0"/>
              <w:kinsoku/>
              <w:wordWrap/>
              <w:overflowPunct/>
              <w:bidi w:val="0"/>
              <w:spacing w:line="360" w:lineRule="auto"/>
              <w:jc w:val="both"/>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rPr>
              <w:t>供应商（章）：</w:t>
            </w:r>
          </w:p>
        </w:tc>
      </w:tr>
      <w:tr w14:paraId="3D06A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4" w:hRule="atLeast"/>
        </w:trPr>
        <w:tc>
          <w:tcPr>
            <w:tcW w:w="4171" w:type="dxa"/>
          </w:tcPr>
          <w:p w14:paraId="0DD84DE6">
            <w:pPr>
              <w:pStyle w:val="3"/>
              <w:pageBreakBefore w:val="0"/>
              <w:kinsoku/>
              <w:wordWrap/>
              <w:overflowPunct/>
              <w:bidi w:val="0"/>
              <w:spacing w:line="36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法定代表人</w:t>
            </w:r>
          </w:p>
          <w:p w14:paraId="6B66FCEB">
            <w:pPr>
              <w:pStyle w:val="3"/>
              <w:pageBreakBefore w:val="0"/>
              <w:kinsoku/>
              <w:wordWrap/>
              <w:overflowPunct/>
              <w:bidi w:val="0"/>
              <w:spacing w:line="36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或委托代理人</w:t>
            </w:r>
          </w:p>
          <w:p w14:paraId="365FB5ED">
            <w:pPr>
              <w:pStyle w:val="3"/>
              <w:pageBreakBefore w:val="0"/>
              <w:kinsoku/>
              <w:wordWrap/>
              <w:overflowPunct/>
              <w:bidi w:val="0"/>
              <w:spacing w:line="360" w:lineRule="auto"/>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w:t>
            </w:r>
          </w:p>
        </w:tc>
        <w:tc>
          <w:tcPr>
            <w:tcW w:w="4119" w:type="dxa"/>
          </w:tcPr>
          <w:p w14:paraId="27FF0B55">
            <w:pPr>
              <w:pStyle w:val="3"/>
              <w:pageBreakBefore w:val="0"/>
              <w:kinsoku/>
              <w:wordWrap/>
              <w:overflowPunct/>
              <w:bidi w:val="0"/>
              <w:spacing w:line="36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法定代表人</w:t>
            </w:r>
          </w:p>
          <w:p w14:paraId="0F9D874F">
            <w:pPr>
              <w:pStyle w:val="3"/>
              <w:pageBreakBefore w:val="0"/>
              <w:kinsoku/>
              <w:wordWrap/>
              <w:overflowPunct/>
              <w:bidi w:val="0"/>
              <w:spacing w:line="36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或委托代理人</w:t>
            </w:r>
          </w:p>
          <w:p w14:paraId="07DF0D40">
            <w:pPr>
              <w:pStyle w:val="3"/>
              <w:pageBreakBefore w:val="0"/>
              <w:kinsoku/>
              <w:wordWrap/>
              <w:overflowPunct/>
              <w:bidi w:val="0"/>
              <w:spacing w:line="360" w:lineRule="auto"/>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w:t>
            </w:r>
          </w:p>
        </w:tc>
      </w:tr>
      <w:tr w14:paraId="3657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171" w:type="dxa"/>
            <w:vAlign w:val="center"/>
          </w:tcPr>
          <w:p w14:paraId="6242845F">
            <w:pPr>
              <w:pStyle w:val="3"/>
              <w:pageBreakBefore w:val="0"/>
              <w:kinsoku/>
              <w:wordWrap/>
              <w:overflowPunct/>
              <w:bidi w:val="0"/>
              <w:spacing w:line="360" w:lineRule="auto"/>
              <w:ind w:firstLine="720" w:firstLineChars="300"/>
              <w:jc w:val="both"/>
              <w:outlineLvl w:val="9"/>
              <w:rPr>
                <w:rFonts w:hint="eastAsia" w:ascii="宋体" w:hAnsi="宋体" w:cs="宋体"/>
                <w:color w:val="auto"/>
                <w:kern w:val="0"/>
                <w:sz w:val="24"/>
                <w:szCs w:val="24"/>
                <w:vertAlign w:val="baseline"/>
              </w:rPr>
            </w:pPr>
            <w:r>
              <w:rPr>
                <w:rFonts w:hint="eastAsia" w:ascii="宋体" w:hAnsi="宋体" w:eastAsia="宋体" w:cs="宋体"/>
                <w:color w:val="auto"/>
                <w:kern w:val="0"/>
                <w:sz w:val="24"/>
                <w:szCs w:val="24"/>
                <w:lang w:val="en-US" w:eastAsia="zh-CN" w:bidi="ar-SA"/>
              </w:rPr>
              <w:t xml:space="preserve">年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月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 日</w:t>
            </w:r>
          </w:p>
        </w:tc>
        <w:tc>
          <w:tcPr>
            <w:tcW w:w="4119" w:type="dxa"/>
            <w:vAlign w:val="center"/>
          </w:tcPr>
          <w:p w14:paraId="6BD6AAE2">
            <w:pPr>
              <w:pageBreakBefore w:val="0"/>
              <w:kinsoku/>
              <w:wordWrap/>
              <w:overflowPunct/>
              <w:bidi w:val="0"/>
              <w:spacing w:line="360" w:lineRule="auto"/>
              <w:ind w:firstLine="720" w:firstLineChars="300"/>
              <w:jc w:val="both"/>
              <w:outlineLvl w:val="9"/>
              <w:rPr>
                <w:rFonts w:hint="eastAsia" w:ascii="宋体" w:hAnsi="宋体" w:cs="宋体"/>
                <w:color w:val="auto"/>
                <w:kern w:val="0"/>
                <w:sz w:val="24"/>
                <w:szCs w:val="24"/>
                <w:vertAlign w:val="baseline"/>
              </w:rPr>
            </w:pPr>
            <w:r>
              <w:rPr>
                <w:rFonts w:hint="eastAsia" w:ascii="宋体" w:hAnsi="宋体" w:eastAsia="宋体" w:cs="宋体"/>
                <w:color w:val="auto"/>
                <w:kern w:val="0"/>
                <w:sz w:val="24"/>
                <w:szCs w:val="24"/>
                <w:lang w:val="en-US" w:eastAsia="zh-CN" w:bidi="ar-SA"/>
              </w:rPr>
              <w:t xml:space="preserve">年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 月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日</w:t>
            </w:r>
          </w:p>
        </w:tc>
      </w:tr>
    </w:tbl>
    <w:p w14:paraId="426C70ED">
      <w:pPr>
        <w:pStyle w:val="3"/>
        <w:pageBreakBefore w:val="0"/>
        <w:kinsoku/>
        <w:wordWrap/>
        <w:overflowPunct/>
        <w:bidi w:val="0"/>
        <w:spacing w:line="360" w:lineRule="auto"/>
        <w:ind w:firstLine="240" w:firstLineChars="100"/>
        <w:outlineLvl w:val="9"/>
        <w:rPr>
          <w:rFonts w:hint="eastAsia" w:ascii="宋体" w:hAnsi="宋体" w:cs="宋体"/>
          <w:color w:val="auto"/>
          <w:kern w:val="0"/>
          <w:sz w:val="24"/>
          <w:szCs w:val="24"/>
        </w:rPr>
      </w:pPr>
    </w:p>
    <w:p w14:paraId="79E97BE8">
      <w:pPr>
        <w:pStyle w:val="3"/>
        <w:pageBreakBefore w:val="0"/>
        <w:kinsoku/>
        <w:wordWrap/>
        <w:overflowPunct/>
        <w:bidi w:val="0"/>
        <w:spacing w:line="360" w:lineRule="auto"/>
        <w:ind w:firstLine="240" w:firstLineChars="100"/>
        <w:outlineLvl w:val="9"/>
        <w:rPr>
          <w:rFonts w:hint="eastAsia" w:ascii="宋体" w:hAnsi="宋体" w:eastAsia="宋体" w:cs="宋体"/>
          <w:b/>
          <w:bCs/>
          <w:color w:val="auto"/>
          <w:sz w:val="32"/>
          <w:szCs w:val="20"/>
        </w:rPr>
      </w:pPr>
      <w:r>
        <w:rPr>
          <w:rFonts w:hint="eastAsia" w:ascii="宋体" w:hAnsi="宋体" w:cs="宋体"/>
          <w:color w:val="auto"/>
          <w:kern w:val="0"/>
          <w:sz w:val="24"/>
          <w:szCs w:val="24"/>
        </w:rPr>
        <w:t xml:space="preserve">                     </w:t>
      </w:r>
      <w:r>
        <w:rPr>
          <w:rFonts w:ascii="宋体" w:hAnsi="宋体" w:cs="宋体"/>
          <w:color w:val="auto"/>
          <w:kern w:val="0"/>
          <w:sz w:val="24"/>
          <w:szCs w:val="24"/>
        </w:rPr>
        <w:t xml:space="preserve"> </w:t>
      </w:r>
      <w:r>
        <w:rPr>
          <w:rFonts w:hint="eastAsia" w:ascii="宋体" w:hAnsi="宋体" w:cs="宋体"/>
          <w:color w:val="auto"/>
          <w:kern w:val="0"/>
          <w:sz w:val="24"/>
          <w:szCs w:val="24"/>
        </w:rPr>
        <w:t xml:space="preserve">                 </w:t>
      </w:r>
    </w:p>
    <w:sectPr>
      <w:pgSz w:w="11906" w:h="16838"/>
      <w:pgMar w:top="1440" w:right="1916" w:bottom="1440" w:left="191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2612E"/>
    <w:rsid w:val="085F279C"/>
    <w:rsid w:val="1B42612E"/>
    <w:rsid w:val="5AE87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table of figures"/>
    <w:basedOn w:val="1"/>
    <w:next w:val="1"/>
    <w:qFormat/>
    <w:uiPriority w:val="0"/>
    <w:pPr>
      <w:spacing w:line="360" w:lineRule="auto"/>
      <w:ind w:hanging="200"/>
    </w:pPr>
    <w:rPr>
      <w:rFonts w:ascii="宋体"/>
      <w:kern w:val="0"/>
      <w:sz w:val="20"/>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2303</Words>
  <Characters>2345</Characters>
  <Lines>0</Lines>
  <Paragraphs>0</Paragraphs>
  <TotalTime>3</TotalTime>
  <ScaleCrop>false</ScaleCrop>
  <LinksUpToDate>false</LinksUpToDate>
  <CharactersWithSpaces>2428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2025-07-10T00:45:00Z</dcterms:created>
  <dc:creator>琥珀</dc:creator>
  <cp:lastModifiedBy>琥珀</cp:lastModifiedBy>
  <dcterms:modified xsi:type="dcterms:W3CDTF">2025-10-15T08:50:44Z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FB1434B1EB574614BFF314C24E18C357_11</vt:lpwstr>
  </property>
  <property fmtid="{D5CDD505-2E9C-101B-9397-08002B2CF9AE}" pid="4" name="KSOTemplateDocerSaveRecord">
    <vt:lpwstr>eyJoZGlkIjoiMmU1OTkzMmM4YmJjNTA4ZTVlNjBiODExOWZjZjRlY2MiLCJ1c2VySWQiOiIyNDExOTAxMzUifQ==</vt:lpwstr>
  </property>
</Properties>
</file>