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版本号：SXZYXM2025-5120251016001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渭南市华州区2025年森林生态保护补偿支出(森林修复）项目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SXZYXM2025-51</w:t>
      </w:r>
      <w:r>
        <w:br/>
      </w:r>
      <w:r>
        <w:br/>
      </w:r>
      <w:r>
        <w:br/>
      </w:r>
    </w:p>
    <w:p>
      <w:pPr>
        <w:pStyle w:val="null3"/>
        <w:jc w:val="center"/>
        <w:outlineLvl w:val="2"/>
      </w:pPr>
      <w:r>
        <w:rPr>
          <w:rFonts w:ascii="仿宋_GB2312" w:hAnsi="仿宋_GB2312" w:cs="仿宋_GB2312" w:eastAsia="仿宋_GB2312"/>
          <w:sz w:val="28"/>
          <w:b/>
        </w:rPr>
        <w:t>渭南市华州区林业局</w:t>
      </w:r>
    </w:p>
    <w:p>
      <w:pPr>
        <w:pStyle w:val="null3"/>
        <w:jc w:val="center"/>
        <w:outlineLvl w:val="2"/>
      </w:pPr>
      <w:r>
        <w:rPr>
          <w:rFonts w:ascii="仿宋_GB2312" w:hAnsi="仿宋_GB2312" w:cs="仿宋_GB2312" w:eastAsia="仿宋_GB2312"/>
          <w:sz w:val="28"/>
          <w:b/>
        </w:rPr>
        <w:t>陕西正园工程项目管理有限公司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陕西正园工程项目管理有限公司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渭南市华州区林业局</w:t>
      </w:r>
      <w:r>
        <w:rPr>
          <w:rFonts w:ascii="仿宋_GB2312" w:hAnsi="仿宋_GB2312" w:cs="仿宋_GB2312" w:eastAsia="仿宋_GB2312"/>
        </w:rPr>
        <w:t>委托，拟对</w:t>
      </w:r>
      <w:r>
        <w:rPr>
          <w:rFonts w:ascii="仿宋_GB2312" w:hAnsi="仿宋_GB2312" w:cs="仿宋_GB2312" w:eastAsia="仿宋_GB2312"/>
        </w:rPr>
        <w:t>渭南市华州区2025年森林生态保护补偿支出(森林修复）项目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SXZYXM2025-51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渭南市华州区2025年森林生态保护补偿支出(森林修复）项目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通过疏伐、修枝、割灌+人促综合修复的方式实施森林修复3000亩。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采购包1（渭南市华州区2025年森林生态保护补偿支出(森林修复）项目）：属于专门面向中小企业采购。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2、供应商授权合法的人员参加磋商全过程：法定代表人授权委托书（附法定代表人身份证复印件）及被授权委托人身份证（法定代表人参加磋商只须提供法定代表人身份证）；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p>
      <w:pPr>
        <w:pStyle w:val="null3"/>
      </w:pPr>
      <w:r>
        <w:rPr>
          <w:rFonts w:ascii="仿宋_GB2312" w:hAnsi="仿宋_GB2312" w:cs="仿宋_GB2312" w:eastAsia="仿宋_GB2312"/>
        </w:rPr>
        <w:t>4、税收缴纳证明：提供递交截止时间前6个月内任意一个月的缴费凭据，依法免税的单位应提供相关证明材料；</w:t>
      </w:r>
    </w:p>
    <w:p>
      <w:pPr>
        <w:pStyle w:val="null3"/>
      </w:pPr>
      <w:r>
        <w:rPr>
          <w:rFonts w:ascii="仿宋_GB2312" w:hAnsi="仿宋_GB2312" w:cs="仿宋_GB2312" w:eastAsia="仿宋_GB2312"/>
        </w:rPr>
        <w:t>5、社会保障资金缴纳证明：提供递交截止时间前6个月内任意一个月的社会保障资金缴存单据或社保机构开具的社会保险参保缴费情况证明，依法不需要缴纳社会保障资金的单位应提供相关证明材料；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6、资质条件：拟派项目负责人需具备林业类或园林类专业中级及以上职称或市政公用专业二级建造师及安全生产考核B证，且无在建项目（须提供拟派项目负责人无在建项目承诺书，格式自拟）</w:t>
      </w:r>
    </w:p>
    <w:p>
      <w:pPr>
        <w:pStyle w:val="null3"/>
      </w:pPr>
      <w:r>
        <w:rPr>
          <w:rFonts w:ascii="仿宋_GB2312" w:hAnsi="仿宋_GB2312" w:cs="仿宋_GB2312" w:eastAsia="仿宋_GB2312"/>
        </w:rPr>
        <w:t>7、具有履行合同所必需的设备和专业技术能力：提供具有履行合同所必需的设备和专业技术能力的承诺；</w:t>
      </w:r>
    </w:p>
    <w:p>
      <w:pPr>
        <w:pStyle w:val="null3"/>
      </w:pPr>
      <w:r>
        <w:rPr>
          <w:rFonts w:ascii="仿宋_GB2312" w:hAnsi="仿宋_GB2312" w:cs="仿宋_GB2312" w:eastAsia="仿宋_GB2312"/>
        </w:rPr>
        <w:t>8、参加政府采购活动前三年内，在经营活动中没有重大违法记录：提供参加政府采购活动前3年内在经营活动中没有重大违法记录的书面声明；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9、信用记录：未被列入“信用中国”网站记录的“失信被执行人”及“重大税收违法案件当事人”名单；不得为“中国政府采购网”记录的“政府采购严重违法失信行为记录名单”，提供网页截图，代理机构将对信用记录现场进行查询。（以评审现场查询记录为准）；</w:t>
      </w:r>
    </w:p>
    <w:p>
      <w:pPr>
        <w:pStyle w:val="null3"/>
      </w:pPr>
      <w:r>
        <w:rPr>
          <w:rFonts w:ascii="仿宋_GB2312" w:hAnsi="仿宋_GB2312" w:cs="仿宋_GB2312" w:eastAsia="仿宋_GB2312"/>
        </w:rPr>
        <w:t>10、投标承诺：单位负责人为同一人或者存在直接控股、管理关系的不同供应商，不得参加同一合同项下的政府采购活动（提供控股管理关系清单）；</w:t>
      </w:r>
    </w:p>
    <w:p>
      <w:pPr>
        <w:pStyle w:val="null3"/>
      </w:pPr>
      <w:r>
        <w:rPr>
          <w:rFonts w:ascii="仿宋_GB2312" w:hAnsi="仿宋_GB2312" w:cs="仿宋_GB2312" w:eastAsia="仿宋_GB2312"/>
        </w:rPr>
        <w:t>11、非联合体磋商：提供非联合体磋商声明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华州区新秦南路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渭南市华州区林业局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0913-4731433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陕西正园工程项目管理有限公司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西安市曲江新区雁翔路旺座曲江L座1506室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钮依宁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029-89557177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采购包1：1,025,300.00元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采购项目代理服务费参照国家计委颁发的《招标代理服务收费管理暂行办法》(计价格[2002]1980号)和国家发展改革委员会办公厅颁发的《关于招标代理服务收费有关问题的通知》(发改办价格[2003]857号)及发改价格【2011】534的有关规定执行，由中标人向采购代理机构一次付清招标代理服务费。 代理费用由投标人自行考虑包含在投标报价中，费用可不单列。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渭南市华州区林业局</w:t>
      </w:r>
      <w:r>
        <w:rPr>
          <w:rFonts w:ascii="仿宋_GB2312" w:hAnsi="仿宋_GB2312" w:cs="仿宋_GB2312" w:eastAsia="仿宋_GB2312"/>
        </w:rPr>
        <w:t>和</w:t>
      </w:r>
      <w:r>
        <w:rPr>
          <w:rFonts w:ascii="仿宋_GB2312" w:hAnsi="仿宋_GB2312" w:cs="仿宋_GB2312" w:eastAsia="仿宋_GB2312"/>
        </w:rPr>
        <w:t>陕西正园工程项目管理有限公司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陕西正园工程项目管理有限公司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陕西正园工程项目管理有限公司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联系人：钮依宁</w:t>
      </w:r>
    </w:p>
    <w:p>
      <w:pPr>
        <w:pStyle w:val="null3"/>
      </w:pPr>
      <w:r>
        <w:rPr>
          <w:rFonts w:ascii="仿宋_GB2312" w:hAnsi="仿宋_GB2312" w:cs="仿宋_GB2312" w:eastAsia="仿宋_GB2312"/>
        </w:rPr>
        <w:t>联系电话：029-89557177</w:t>
      </w:r>
    </w:p>
    <w:p>
      <w:pPr>
        <w:pStyle w:val="null3"/>
      </w:pPr>
      <w:r>
        <w:rPr>
          <w:rFonts w:ascii="仿宋_GB2312" w:hAnsi="仿宋_GB2312" w:cs="仿宋_GB2312" w:eastAsia="仿宋_GB2312"/>
        </w:rPr>
        <w:t>地址：西安市曲江新区雁翔路旺座曲江L座1506室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华州区2025年森林生态保护补偿支出(森林修复)项目主要内容：在金堆镇任家滩村作业区内，选择地势条件相对较好，林分具有代表性的小班进行示范点的建设。本次森林修复项目共区划小班15个，小班面积3345亩，可作业面积3000亩。完成3000亩的森林修复任务及监测样地的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1,025,300.00</w:t>
      </w:r>
    </w:p>
    <w:p>
      <w:pPr>
        <w:pStyle w:val="null3"/>
      </w:pPr>
      <w:r>
        <w:rPr>
          <w:rFonts w:ascii="仿宋_GB2312" w:hAnsi="仿宋_GB2312" w:cs="仿宋_GB2312" w:eastAsia="仿宋_GB2312"/>
        </w:rPr>
        <w:t>采购包最高限价（元）: 1,025,300.00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渭南市华州区2025年森林生态保护补偿支出(森林修复）项目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1,025,300.00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标的名称：渭南市华州区2025年森林生态保护补偿支出(森林修复）项目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森林修复项目共区划小班15个，小班面积3345亩，可作业面积3000亩，完成3000亩森林修复任务及监测样地的建设。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二、需执行的国家相关标准、行业标准、地方标准或者其他标准、规范标准国家财政部、国家林业局关于印发《林业改革发展资金管理办法办法的通知》(财农[2016]196号)；</w:t>
            </w:r>
            <w:r>
              <w:br/>
            </w:r>
            <w:r>
              <w:rPr>
                <w:rFonts w:ascii="仿宋_GB2312" w:hAnsi="仿宋_GB2312" w:cs="仿宋_GB2312" w:eastAsia="仿宋_GB2312"/>
              </w:rPr>
              <w:t xml:space="preserve"> 国家林业局《关于贯彻执行新修订《森林抚育规程》的通知》林造发(2015)113号:渭南市林业局《关于下达2023年林业草原生态保护恢复资金计划的通知》林发(2023)178号；</w:t>
            </w:r>
            <w:r>
              <w:br/>
            </w:r>
            <w:r>
              <w:rPr>
                <w:rFonts w:ascii="仿宋_GB2312" w:hAnsi="仿宋_GB2312" w:cs="仿宋_GB2312" w:eastAsia="仿宋_GB2312"/>
              </w:rPr>
              <w:t xml:space="preserve"> 《森林抚育规程》GB/TI5781-2015；</w:t>
            </w:r>
            <w:r>
              <w:br/>
            </w:r>
            <w:r>
              <w:rPr>
                <w:rFonts w:ascii="仿宋_GB2312" w:hAnsi="仿宋_GB2312" w:cs="仿宋_GB2312" w:eastAsia="仿宋_GB2312"/>
              </w:rPr>
              <w:t xml:space="preserve"> 《森林资源规划设计调查技术规程》GBT26424-2010；</w:t>
            </w:r>
            <w:r>
              <w:br/>
            </w:r>
            <w:r>
              <w:rPr>
                <w:rFonts w:ascii="仿宋_GB2312" w:hAnsi="仿宋_GB2312" w:cs="仿宋_GB2312" w:eastAsia="仿宋_GB2312"/>
              </w:rPr>
              <w:t xml:space="preserve"> 国家林业局《森林抚育作业设计规定》(2015)；</w:t>
            </w:r>
            <w:r>
              <w:br/>
            </w:r>
            <w:r>
              <w:rPr>
                <w:rFonts w:ascii="仿宋_GB2312" w:hAnsi="仿宋_GB2312" w:cs="仿宋_GB2312" w:eastAsia="仿宋_GB2312"/>
              </w:rPr>
              <w:t xml:space="preserve"> 《森林采伐作业规程》LY/T 1646-2005)；</w:t>
            </w:r>
            <w:r>
              <w:br/>
            </w:r>
            <w:r>
              <w:rPr>
                <w:rFonts w:ascii="仿宋_GB2312" w:hAnsi="仿宋_GB2312" w:cs="仿宋_GB2312" w:eastAsia="仿宋_GB2312"/>
              </w:rPr>
              <w:t xml:space="preserve"> 《生态公益林建设技术规程》GBT18337.1--3-2001；</w:t>
            </w:r>
            <w:r>
              <w:br/>
            </w:r>
            <w:r>
              <w:rPr>
                <w:rFonts w:ascii="仿宋_GB2312" w:hAnsi="仿宋_GB2312" w:cs="仿宋_GB2312" w:eastAsia="仿宋_GB2312"/>
              </w:rPr>
              <w:t xml:space="preserve"> 《临渭区林业局森林资源规划设计调查成果》；</w:t>
            </w:r>
            <w:r>
              <w:br/>
            </w:r>
            <w:r>
              <w:rPr>
                <w:rFonts w:ascii="仿宋_GB2312" w:hAnsi="仿宋_GB2312" w:cs="仿宋_GB2312" w:eastAsia="仿宋_GB2312"/>
              </w:rPr>
              <w:t xml:space="preserve"> 其它行业、地方现行执行规范、规程、标准。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shd w:fill="FFFFFF" w:val="clear"/>
              </w:rPr>
              <w:t>三、采购金额及最高限价</w:t>
            </w:r>
          </w:p>
          <w:p>
            <w:pPr>
              <w:pStyle w:val="null3"/>
              <w:jc w:val="both"/>
            </w:pPr>
            <w:r>
              <w:rPr>
                <w:rFonts w:ascii="仿宋_GB2312" w:hAnsi="仿宋_GB2312" w:cs="仿宋_GB2312" w:eastAsia="仿宋_GB2312"/>
                <w:sz w:val="18"/>
                <w:shd w:fill="FFFFFF" w:val="clear"/>
              </w:rPr>
              <w:t>1025300.00元。</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8"/>
              </w:rPr>
              <w:t>四、服务期</w:t>
            </w:r>
          </w:p>
          <w:p>
            <w:pPr>
              <w:pStyle w:val="null3"/>
            </w:pPr>
            <w:r>
              <w:rPr>
                <w:rFonts w:ascii="仿宋_GB2312" w:hAnsi="仿宋_GB2312" w:cs="仿宋_GB2312" w:eastAsia="仿宋_GB2312"/>
                <w:sz w:val="18"/>
              </w:rPr>
              <w:t>1年。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8"/>
              </w:rPr>
              <w:t>五、付款计划</w:t>
            </w:r>
          </w:p>
          <w:p>
            <w:pPr>
              <w:pStyle w:val="null3"/>
            </w:pPr>
            <w:r>
              <w:rPr>
                <w:rFonts w:ascii="仿宋_GB2312" w:hAnsi="仿宋_GB2312" w:cs="仿宋_GB2312" w:eastAsia="仿宋_GB2312"/>
              </w:rPr>
              <w:t>项目款按6：4方式支付。即乙方施工完成后报甲方和监理进行验收，经甲方和监理共同验收合格，甲方付给乙方合同额60%。剩余部分经相关主管部门全部验收合格且完成结算审计后，甲方向供应商支付剩余项目价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人员配备合理。有针对本项目的专项项目小组，项目负责人、工作人员分工明确(应有具体成员名单，包括姓名、工作职责等)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金堆镇任家滩</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现地验收合格并经上级验收后直接交付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乙方施工完成后报甲方和监理进行验收，经甲方和监理共同验收合格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剩余部分经相关主管部门全部验收合格且完成结算审计后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所报价格应考虑到可能发生的所有与完成本项目有关的一切费用。磋商报价是供应商为完成本次磋商所要求的货物、服务及工程且验收合格的所有费用，包括但不限于投标人完成本项目所需的人工费、材料费、设备费、管理费、验收费、利润和税金等所产生的全部费用。任何有选择的报价将不予接受，按无效磋商处理。 （二）由供应商自行承担因现场踏勘而产生的费用及安全。（三）本项目所属行业为：农林牧渔业。根据《工业和信息化部、国家统计局、国家发展和改革委员会、财政部关于印发中小企业划型标准规定的通知》《工信部联企业(2011)300 号)规定的划分标准，营业收入80000万元以下或资产总额80000万元以下的为中小微型企业。其中，营业收⼊20000万元以下的为中小微型企业。其中，营业收⼊500万元及以上的为中型企业，营业收⼊50万元及以上的为小型企业，营业收⼊50万元以下的为微型企业。（四）、成交供应商在领取成交通知书前，需向采购代理机构提交加盖公章的纸质版响应文件二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本采购包专门面向中小企业采购，供应商应提供《中小企业声明函》；供应商为监狱企业的，应提供监狱企业的证明文件；供应商为残疾人福利性单位的，应提供《残疾人福利性单位声明函》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拟派项目负责人需具备林业类或园林类专业中级及以上职称或市政公用专业二级建造师及安全生产考核B证，且无在建项目（须提供拟派项目负责人无在建项目承诺书，格式自拟）</w:t>
            </w:r>
          </w:p>
        </w:tc>
        <w:tc>
          <w:tcPr>
            <w:tcW w:type="dxa" w:w="1661"/>
          </w:tcPr>
          <w:p>
            <w:pPr>
              <w:pStyle w:val="null3"/>
            </w:pPr>
            <w:r>
              <w:rPr>
                <w:rFonts w:ascii="仿宋_GB2312" w:hAnsi="仿宋_GB2312" w:cs="仿宋_GB2312" w:eastAsia="仿宋_GB2312"/>
              </w:rPr>
              <w:t>项目管理组织机构.docx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记录的“失信被执行人”及“重大税收违法案件当事人”名单；不得为“中国政府采购网”记录的“政府采购严重违法失信行为记录名单”，提供网页截图，代理机构将对信用记录现场进行查询。（以评审现场查询记录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单位负责人为同一人或者存在直接控股、管理关系的不同供应商，不得参加同一合同项下的政府采购活动（提供控股管理关系清单）；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响应文件无投标有效期或有效期达不到磋商文件的要求</w:t>
            </w:r>
          </w:p>
        </w:tc>
        <w:tc>
          <w:tcPr>
            <w:tcW w:type="dxa" w:w="1661"/>
          </w:tcPr>
          <w:p>
            <w:pPr>
              <w:pStyle w:val="null3"/>
            </w:pPr>
            <w:r>
              <w:rPr>
                <w:rFonts w:ascii="仿宋_GB2312" w:hAnsi="仿宋_GB2312" w:cs="仿宋_GB2312" w:eastAsia="仿宋_GB2312"/>
              </w:rPr>
              <w:t>响应文件封面 服务内容及服务邀请应答表 项目管理组织机构.docx 分项报价表 供应商类似项目业绩一览表.docx 中小企业声明函 残疾人福利性单位声明函 报价表 响应函 资格证明文件.docx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响应全部实质性要求，未附加采购人难以接受的条件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满足采购文件中的规定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（1）实施方案整体思路及主要方案； （2）森林修复措施； （3）重难点分析； （4）进度计划安排及保障措施； （5）整体管理措施。 二、评审标准：1.针对性：符合本项目实际情况，专业性强、内容科学合理；2.完整性：内容完整详细，条理清晰；3.可实施性：安排及措施可实施性强。 三、赋分标准（30分）： 按照供应商编制内容每项完全满足一个评审标准得2分，满分6分；每有一项内容出现一处存在缺陷的扣2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（1）火情应急预案； （2）人为砍伐应急预案；（3）自然灾害应急预案；（4）其他应急措施；二、评审标准：1.针对性：符合本项目实际情况，专业性强、内容科学合理；2.完整性：内容完整详细，条理清晰；3.可实施性：安排及措施可实施性强。 三、赋分标准（24分）：按照供应商编制内容每项完全满足一个评审标准得2分，满分6分；每有一项内容出现一处存在缺陷的扣2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文明施工、环境保护管理措施</w:t>
            </w:r>
          </w:p>
        </w:tc>
        <w:tc>
          <w:tcPr>
            <w:tcW w:type="dxa" w:w="2492"/>
          </w:tcPr>
          <w:p>
            <w:pPr>
              <w:pStyle w:val="null3"/>
            </w:pPr>
            <w:r>
              <w:rPr>
                <w:rFonts w:ascii="仿宋_GB2312" w:hAnsi="仿宋_GB2312" w:cs="仿宋_GB2312" w:eastAsia="仿宋_GB2312"/>
              </w:rPr>
              <w:t>一、评审内容： （1）文明施工管理措施；（2）环境保护管理措施；二、评审标准： 1.针对性：符合本项目实际情况，专业性强、内容科学合理；2.完整性：内容完整详细，条理清晰；3.可实施性：安排及措施可实施性强。 三、赋分标准（12分）：按照供应商编制内容每项完全满足一个评审标准得2分，满分6分；每有一项内容出现一处存在缺陷的扣2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项目组织管理及人员安排</w:t>
            </w:r>
          </w:p>
        </w:tc>
        <w:tc>
          <w:tcPr>
            <w:tcW w:type="dxa" w:w="2492"/>
          </w:tcPr>
          <w:p>
            <w:pPr>
              <w:pStyle w:val="null3"/>
            </w:pPr>
            <w:r>
              <w:rPr>
                <w:rFonts w:ascii="仿宋_GB2312" w:hAnsi="仿宋_GB2312" w:cs="仿宋_GB2312" w:eastAsia="仿宋_GB2312"/>
              </w:rPr>
              <w:t>一、评审内容： 依据本项目服务内容及相关要求，进行人员配备。 二、评审标准： （1）满足服务所需基本要求； （2）分工明确、安排合理、技能经验丰富等。 三、赋分标准（10分）：（1）满足本次服务基本人员要求得5分；（2）在此基础上每增加1名人员得2分，最多得5分；未提供或完全背离评审标准得0分。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项目管理组织机构.docx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针对本项目服务内容提出的合理化建议。 二、评审标准： （1）针对性：能够紧扣项目实际情况，专业性强、内容科学合理； （2）可实施性：切合本项目实际情况，步骤明确、可操作性强。 三、赋分标准（4分）：按照供应商编制内容每项完全满足一个评审标准得2分，满分4分；每有一项内容出现一处存在缺陷的扣2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供应商具有近三年（2022年9月至今）的类似项目业绩（以合同签订时间为准）每个计2分，最多计10分。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1.磋商报价得分=（磋商基准价/最后磋商报价）×10分； 2.满足磋商文件要求且最后报价最低的供应商的价格为磋商基准价。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详见附件：项目管理组织机构.docx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