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版本号：HLZB2025-15720251028001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渭南市华州区中心敬老院五保楼及综合楼提升改造工程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HLZB2025-157</w:t>
      </w:r>
      <w:r>
        <w:br/>
      </w:r>
      <w:r>
        <w:br/>
      </w:r>
      <w:r>
        <w:br/>
      </w:r>
    </w:p>
    <w:p>
      <w:pPr>
        <w:pStyle w:val="null3"/>
        <w:jc w:val="center"/>
        <w:outlineLvl w:val="2"/>
      </w:pPr>
      <w:r>
        <w:rPr>
          <w:rFonts w:ascii="仿宋_GB2312" w:hAnsi="仿宋_GB2312" w:cs="仿宋_GB2312" w:eastAsia="仿宋_GB2312"/>
          <w:sz w:val="28"/>
          <w:b/>
        </w:rPr>
        <w:t>渭南市华州区民政局</w:t>
      </w:r>
    </w:p>
    <w:p>
      <w:pPr>
        <w:pStyle w:val="null3"/>
        <w:jc w:val="center"/>
        <w:outlineLvl w:val="2"/>
      </w:pPr>
      <w:r>
        <w:rPr>
          <w:rFonts w:ascii="仿宋_GB2312" w:hAnsi="仿宋_GB2312" w:cs="仿宋_GB2312" w:eastAsia="仿宋_GB2312"/>
          <w:sz w:val="28"/>
          <w:b/>
        </w:rPr>
        <w:t>陕西翰林招标有限公司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陕西翰林招标有限公司</w:t>
      </w:r>
      <w:r>
        <w:rPr>
          <w:rFonts w:ascii="仿宋_GB2312" w:hAnsi="仿宋_GB2312" w:cs="仿宋_GB2312" w:eastAsia="仿宋_GB2312"/>
        </w:rPr>
        <w:t>（以下简称“代理机构”）受</w:t>
      </w:r>
      <w:r>
        <w:rPr>
          <w:rFonts w:ascii="仿宋_GB2312" w:hAnsi="仿宋_GB2312" w:cs="仿宋_GB2312" w:eastAsia="仿宋_GB2312"/>
        </w:rPr>
        <w:t>渭南市华州区民政局</w:t>
      </w:r>
      <w:r>
        <w:rPr>
          <w:rFonts w:ascii="仿宋_GB2312" w:hAnsi="仿宋_GB2312" w:cs="仿宋_GB2312" w:eastAsia="仿宋_GB2312"/>
        </w:rPr>
        <w:t>委托，拟对</w:t>
      </w:r>
      <w:r>
        <w:rPr>
          <w:rFonts w:ascii="仿宋_GB2312" w:hAnsi="仿宋_GB2312" w:cs="仿宋_GB2312" w:eastAsia="仿宋_GB2312"/>
        </w:rPr>
        <w:t>渭南市华州区中心敬老院五保楼及综合楼提升改造工程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HLZB2025-157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渭南市华州区中心敬老院五保楼及综合楼提升改造工程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华州区中心敬老院五保户楼和综合楼适老化改造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采购包1（渭南市华州区中心敬老院五保楼及综合楼提升改造工程）：属于专门面向中小企业采购。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p>
      <w:pPr>
        <w:pStyle w:val="null3"/>
      </w:pPr>
      <w:r>
        <w:rPr>
          <w:rFonts w:ascii="仿宋_GB2312" w:hAnsi="仿宋_GB2312" w:cs="仿宋_GB2312" w:eastAsia="仿宋_GB2312"/>
        </w:rPr>
        <w:t>3、税收缴纳证明：提供2024年10月1日至今任意一个月已缴纳的纳税证明或完税证明（包含增值税、企业所得税、营业税至少一种）；（依法免税的投标人应提供相关文件证明）</w:t>
      </w:r>
    </w:p>
    <w:p>
      <w:pPr>
        <w:pStyle w:val="null3"/>
      </w:pPr>
      <w:r>
        <w:rPr>
          <w:rFonts w:ascii="仿宋_GB2312" w:hAnsi="仿宋_GB2312" w:cs="仿宋_GB2312" w:eastAsia="仿宋_GB2312"/>
        </w:rPr>
        <w:t>4、社会保障资金缴纳证明：提供2024年10月1日至今任意一个月的社保缴费凭据或社保机构开具的社会保险参保缴费情况证明；（依法不需要缴纳社会保障资金的投标人应提供相关证明）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5、具有履行本合同所必需的设备和专业技术能力的说明及承诺：提供具有履行本合同所必需的设备和专业技术能力的说明及承诺；（格式自拟，加盖供应商公章）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6、参加政府采购活动前三年内在经营活动中没有重大违法记录的书面声明：提供参加政府采购活动前三年内在经营活动中没有重大违法记录的书面声明。（格式自拟，加盖供应商公章）</w:t>
      </w:r>
    </w:p>
    <w:p>
      <w:pPr>
        <w:pStyle w:val="null3"/>
      </w:pPr>
      <w:r>
        <w:rPr>
          <w:rFonts w:ascii="仿宋_GB2312" w:hAnsi="仿宋_GB2312" w:cs="仿宋_GB2312" w:eastAsia="仿宋_GB2312"/>
        </w:rPr>
        <w:t>7、法定代表人或负责人资格证明书：法定代表人或负责人参与磋商时需提供法定代表人或负责人资格证明书；（附法定代表人或负责人身份证复印件）</w:t>
      </w:r>
    </w:p>
    <w:p>
      <w:pPr>
        <w:pStyle w:val="null3"/>
      </w:pPr>
      <w:r>
        <w:rPr>
          <w:rFonts w:ascii="仿宋_GB2312" w:hAnsi="仿宋_GB2312" w:cs="仿宋_GB2312" w:eastAsia="仿宋_GB2312"/>
        </w:rPr>
        <w:t>8、法定代表人或负责人授权委托书：被授权人参与磋商时，需提供法定代表人或负责人资格证明书、法定代表人或负责人授权委托书；（附法定代表人或负责人及被授权人身份证复印件）</w:t>
      </w:r>
    </w:p>
    <w:p>
      <w:pPr>
        <w:pStyle w:val="null3"/>
      </w:pPr>
      <w:r>
        <w:rPr>
          <w:rFonts w:ascii="仿宋_GB2312" w:hAnsi="仿宋_GB2312" w:cs="仿宋_GB2312" w:eastAsia="仿宋_GB2312"/>
        </w:rPr>
        <w:t>9、资质要求：具备建设行政主管部门颁发的建筑工程施工总承包三级及以上（含三级）资质，并具有有效的安全生产许可证；</w:t>
      </w:r>
    </w:p>
    <w:p>
      <w:pPr>
        <w:pStyle w:val="null3"/>
      </w:pPr>
      <w:r>
        <w:rPr>
          <w:rFonts w:ascii="仿宋_GB2312" w:hAnsi="仿宋_GB2312" w:cs="仿宋_GB2312" w:eastAsia="仿宋_GB2312"/>
        </w:rPr>
        <w:t>10、拟派项目经理：拟派项目经理具有建筑工程专业二级及以上注册建造师证书及有效的安全生产考核合格证（B证），且无在建项目（提供无在建承诺）；</w:t>
      </w:r>
    </w:p>
    <w:p>
      <w:pPr>
        <w:pStyle w:val="null3"/>
      </w:pPr>
      <w:r>
        <w:rPr>
          <w:rFonts w:ascii="仿宋_GB2312" w:hAnsi="仿宋_GB2312" w:cs="仿宋_GB2312" w:eastAsia="仿宋_GB2312"/>
        </w:rPr>
        <w:t>11、磋商保证金交纳凭证或担保函：磋商保证金交纳凭证或担保函；（保证金交纳凭证复印件或担保函复印件加盖公章）</w:t>
      </w:r>
    </w:p>
    <w:p>
      <w:pPr>
        <w:pStyle w:val="null3"/>
      </w:pPr>
      <w:r>
        <w:rPr>
          <w:rFonts w:ascii="仿宋_GB2312" w:hAnsi="仿宋_GB2312" w:cs="仿宋_GB2312" w:eastAsia="仿宋_GB2312"/>
        </w:rPr>
        <w:t>12、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rFonts w:ascii="仿宋_GB2312" w:hAnsi="仿宋_GB2312" w:cs="仿宋_GB2312" w:eastAsia="仿宋_GB2312"/>
        </w:rPr>
        <w:t>13、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格式自拟加盖供应商公章）</w:t>
      </w:r>
    </w:p>
    <w:p>
      <w:pPr>
        <w:pStyle w:val="null3"/>
      </w:pPr>
      <w:r>
        <w:rPr>
          <w:rFonts w:ascii="仿宋_GB2312" w:hAnsi="仿宋_GB2312" w:cs="仿宋_GB2312" w:eastAsia="仿宋_GB2312"/>
        </w:rPr>
        <w:t>14、本项目不接受联合体磋商：本项目不接受联合体磋商。（提供书面承诺函，格式自拟加盖供应商公章）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渭南市华州区新秦路4号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渭南市华州区民政局经办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0913-8358520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陕西翰林招标有限公司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029-87592321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渭南市华州区政府采购管理股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采购包1：1,511,800.00元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开户名称：陕西翰林招标有限公司</w:t>
            </w:r>
          </w:p>
          <w:p>
            <w:pPr>
              <w:pStyle w:val="null3"/>
            </w:pPr>
            <w:r>
              <w:rPr>
                <w:rFonts w:ascii="仿宋_GB2312" w:hAnsi="仿宋_GB2312" w:cs="仿宋_GB2312" w:eastAsia="仿宋_GB2312"/>
              </w:rPr>
              <w:t>开户银行：中国民生银行股份有限公司西安雁塔路支行</w:t>
            </w:r>
          </w:p>
          <w:p>
            <w:pPr>
              <w:pStyle w:val="null3"/>
            </w:pPr>
            <w:r>
              <w:rPr>
                <w:rFonts w:ascii="仿宋_GB2312" w:hAnsi="仿宋_GB2312" w:cs="仿宋_GB2312" w:eastAsia="仿宋_GB2312"/>
              </w:rPr>
              <w:t>银行账号：154810956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执行。2、招标代理服务费应采用转账形式交纳。3、收款账户如下：开户名称：陕西翰林招标有限公司,开户行名称：中国民生银行股份有限公司西安雁塔路支行,账号：154810956</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渭南市华州区民政局</w:t>
      </w:r>
      <w:r>
        <w:rPr>
          <w:rFonts w:ascii="仿宋_GB2312" w:hAnsi="仿宋_GB2312" w:cs="仿宋_GB2312" w:eastAsia="仿宋_GB2312"/>
        </w:rPr>
        <w:t>和</w:t>
      </w:r>
      <w:r>
        <w:rPr>
          <w:rFonts w:ascii="仿宋_GB2312" w:hAnsi="仿宋_GB2312" w:cs="仿宋_GB2312" w:eastAsia="仿宋_GB2312"/>
        </w:rPr>
        <w:t>陕西翰林招标有限公司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陕西翰林招标有限公司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陕西翰林招标有限公司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陕西翰林招标有限公司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陕西翰林招标有限公司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陕西翰林招标有限公司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联系电话：029-87592321</w:t>
      </w:r>
    </w:p>
    <w:p>
      <w:pPr>
        <w:pStyle w:val="null3"/>
      </w:pPr>
      <w:r>
        <w:rPr>
          <w:rFonts w:ascii="仿宋_GB2312" w:hAnsi="仿宋_GB2312" w:cs="仿宋_GB2312" w:eastAsia="仿宋_GB2312"/>
        </w:rPr>
        <w:t>地址：西安市雁塔区西部国际广场B座28楼2803室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1,511,800.00</w:t>
      </w:r>
    </w:p>
    <w:p>
      <w:pPr>
        <w:pStyle w:val="null3"/>
      </w:pPr>
      <w:r>
        <w:rPr>
          <w:rFonts w:ascii="仿宋_GB2312" w:hAnsi="仿宋_GB2312" w:cs="仿宋_GB2312" w:eastAsia="仿宋_GB2312"/>
        </w:rPr>
        <w:t>采购包最高限价（元）: 1,511,800.00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渭南市华州区中心敬老院五保楼及综合楼提升改造工程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1,511,800.00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标的名称：渭南市华州区中心敬老院五保楼及综合楼提升改造工程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（一）工程名称：华州区中心敬老院五保户楼及综合楼提升改造；</w:t>
            </w:r>
            <w:r>
              <w:br/>
            </w:r>
            <w:r>
              <w:rPr>
                <w:rFonts w:ascii="仿宋_GB2312" w:hAnsi="仿宋_GB2312" w:cs="仿宋_GB2312" w:eastAsia="仿宋_GB2312"/>
              </w:rPr>
              <w:t xml:space="preserve"> （二）工程地点：华州区中心敬老院</w:t>
            </w:r>
          </w:p>
          <w:p>
            <w:pPr>
              <w:pStyle w:val="null3"/>
            </w:pPr>
            <w:r>
              <w:rPr>
                <w:rFonts w:ascii="仿宋_GB2312" w:hAnsi="仿宋_GB2312" w:cs="仿宋_GB2312" w:eastAsia="仿宋_GB2312"/>
              </w:rPr>
              <w:t>（三）计划工期：自合同签订之日起90个日历日内完成</w:t>
            </w:r>
            <w:r>
              <w:br/>
            </w:r>
            <w:r>
              <w:rPr>
                <w:rFonts w:ascii="仿宋_GB2312" w:hAnsi="仿宋_GB2312" w:cs="仿宋_GB2312" w:eastAsia="仿宋_GB2312"/>
              </w:rPr>
              <w:t xml:space="preserve"> （四）缺陷责任期：1年。</w:t>
            </w:r>
          </w:p>
          <w:p>
            <w:pPr>
              <w:pStyle w:val="null3"/>
            </w:pPr>
            <w:r>
              <w:rPr>
                <w:rFonts w:ascii="仿宋_GB2312" w:hAnsi="仿宋_GB2312" w:cs="仿宋_GB2312" w:eastAsia="仿宋_GB2312"/>
              </w:rPr>
              <w:t>（五）施工要求：</w:t>
            </w:r>
          </w:p>
          <w:p>
            <w:pPr>
              <w:pStyle w:val="null3"/>
            </w:pPr>
            <w:r>
              <w:rPr>
                <w:rFonts w:ascii="仿宋_GB2312" w:hAnsi="仿宋_GB2312" w:cs="仿宋_GB2312" w:eastAsia="仿宋_GB2312"/>
              </w:rPr>
              <w:t>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w:t>
            </w:r>
          </w:p>
          <w:p>
            <w:pPr>
              <w:pStyle w:val="null3"/>
            </w:pPr>
            <w:r>
              <w:rPr>
                <w:rFonts w:ascii="仿宋_GB2312" w:hAnsi="仿宋_GB2312" w:cs="仿宋_GB2312" w:eastAsia="仿宋_GB2312"/>
              </w:rPr>
              <w:t>2、成交人应配合项目建设进度,向采购人提供施工组织计划、进度计划和施工作业计划，并签订施工安全责任书。</w:t>
            </w:r>
          </w:p>
          <w:p>
            <w:pPr>
              <w:pStyle w:val="null3"/>
            </w:pPr>
            <w:r>
              <w:rPr>
                <w:rFonts w:ascii="仿宋_GB2312" w:hAnsi="仿宋_GB2312" w:cs="仿宋_GB2312" w:eastAsia="仿宋_GB2312"/>
              </w:rPr>
              <w:t>（六）质量保证：工程质量达到国家现行施工验收规范合格标准，并符合采购文件、合同以及采购方使用需求。</w:t>
            </w:r>
          </w:p>
          <w:p>
            <w:pPr>
              <w:pStyle w:val="null3"/>
            </w:pPr>
            <w:r>
              <w:rPr>
                <w:rFonts w:ascii="仿宋_GB2312" w:hAnsi="仿宋_GB2312" w:cs="仿宋_GB2312" w:eastAsia="仿宋_GB2312"/>
              </w:rPr>
              <w:t>（七）工程量清单见附件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符合国家相关工程管理规定及行业标准。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满足国家现行有关设计规范、规程和地方法规、标准。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①本项目磋商一次，磋商后供应商根据磋商内容在规定时间通过交易系统递交磋商响应函，逾期未递交的视为自动放弃竞争，磋商保证金退还。②本项目采用两轮报价，响应文件中的报价为首次报价，磋商后的报价为最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提供2024年10月1日至今任意一个月已缴纳的纳税证明或完税证明（包含增值税、企业所得税、营业税至少一种）；（依法免税的投标人应提供相关文件证明）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提供2024年10月1日至今任意一个月的社保缴费凭据或社保机构开具的社会保险参保缴费情况证明；（依法不需要缴纳社会保障资金的投标人应提供相关证明）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法定代表人或负责人参与磋商时需提供法定代表人或负责人资格证明书；（附法定代表人或负责人身份证复印件）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被授权人参与磋商时，需提供法定代表人或负责人资格证明书、法定代表人或负责人授权委托书；（附法定代表人或负责人及被授权人身份证复印件）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具备建设行政主管部门颁发的建筑工程施工总承包三级及以上（含三级）资质，并具有有效的安全生产许可证；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拟派项目经理具有建筑工程专业二级及以上注册建造师证书及有效的安全生产考核合格证（B证），且无在建项目（提供无在建承诺）；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磋商保证金交纳凭证或担保函</w:t>
            </w:r>
          </w:p>
        </w:tc>
        <w:tc>
          <w:tcPr>
            <w:tcW w:type="dxa" w:w="3322"/>
          </w:tcPr>
          <w:p>
            <w:pPr>
              <w:pStyle w:val="null3"/>
            </w:pPr>
            <w:r>
              <w:rPr>
                <w:rFonts w:ascii="仿宋_GB2312" w:hAnsi="仿宋_GB2312" w:cs="仿宋_GB2312" w:eastAsia="仿宋_GB2312"/>
              </w:rPr>
              <w:t>磋商保证金交纳凭证或担保函；（保证金交纳凭证复印件或担保函复印件加盖公章）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供应商名称应与营业执照、资质证书、安全生产许可证及获取磋商文件时相一致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工期满足磋商文件规定</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磋商响应文件的计量单位、报价货币及签字盖章</w:t>
            </w:r>
          </w:p>
        </w:tc>
        <w:tc>
          <w:tcPr>
            <w:tcW w:type="dxa" w:w="3322"/>
          </w:tcPr>
          <w:p>
            <w:pPr>
              <w:pStyle w:val="null3"/>
            </w:pPr>
            <w:r>
              <w:rPr>
                <w:rFonts w:ascii="仿宋_GB2312" w:hAnsi="仿宋_GB2312" w:cs="仿宋_GB2312" w:eastAsia="仿宋_GB2312"/>
              </w:rPr>
              <w:t>磋商响应文件的计量单位、报价货币及签字盖章</w:t>
            </w:r>
          </w:p>
        </w:tc>
        <w:tc>
          <w:tcPr>
            <w:tcW w:type="dxa" w:w="1661"/>
          </w:tcPr>
          <w:p>
            <w:pPr>
              <w:pStyle w:val="null3"/>
            </w:pPr>
            <w:r>
              <w:rPr>
                <w:rFonts w:ascii="仿宋_GB2312" w:hAnsi="仿宋_GB2312" w:cs="仿宋_GB2312" w:eastAsia="仿宋_GB2312"/>
              </w:rPr>
              <w:t>响应文件封面 响应函 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法律、法规和招标文件中规定的其他实质性要求</w:t>
            </w:r>
          </w:p>
        </w:tc>
        <w:tc>
          <w:tcPr>
            <w:tcW w:type="dxa" w:w="1661"/>
          </w:tcPr>
          <w:p>
            <w:pPr>
              <w:pStyle w:val="null3"/>
            </w:pPr>
            <w:r>
              <w:rPr>
                <w:rFonts w:ascii="仿宋_GB2312" w:hAnsi="仿宋_GB2312" w:cs="仿宋_GB2312" w:eastAsia="仿宋_GB2312"/>
              </w:rPr>
              <w:t>已标价工程量清单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①方案内容全面完整，清晰合理，可行性及针对性强，计8分； ②方案内容完整，具备一定合理性及可行性，计6分； ③方案内容不够全面，合理性及可行性一般计4分； ④方案不合理，内容有欠缺且影响项目实施计2 分； ⑤未提供不计分。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①施工机械及材料投入充足、完善、合理，计6分； ②施工机械及材料投入基本完善、能满足项目需求，计4分； ③机械设备投入不足，计2分；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①网络图或进度表内容详尽、安排合理且实施性强，计5分； ②网络图或进度表内容缺失，关键节点不明确，计2分； ③未提供本项不计分。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①计划安排科学合理，措施完善，计6分； ②计划安排较为合理，措施一般，计4分； ③计划安排仅有粗略框架无关键节点，计2分；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①人员配备数量充足、分工明确、安排合理，计6分； ②人员分工安排相对合理，责任制度基本明确，计4分； ③人员分工安排欠缺，责任制度稍简单粗略得2分；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以合同复印件形式提供供应商2022年1月1日至今类似业绩，每份计1分，计满5分为止。 注：供应商需提供采购合同（含施工内容页、签字盖章页）复印件，否则业绩不予认可。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承诺及建议</w:t>
            </w:r>
          </w:p>
        </w:tc>
        <w:tc>
          <w:tcPr>
            <w:tcW w:type="dxa" w:w="2492"/>
          </w:tcPr>
          <w:p>
            <w:pPr>
              <w:pStyle w:val="null3"/>
            </w:pPr>
            <w:r>
              <w:rPr>
                <w:rFonts w:ascii="仿宋_GB2312" w:hAnsi="仿宋_GB2312" w:cs="仿宋_GB2312" w:eastAsia="仿宋_GB2312"/>
              </w:rPr>
              <w:t>完全承诺磋商文件和合同条款，并针对本项目实际需求提供实质性承诺或合理化建议。 ①服务承诺详细全面、措施及建议合理可行，计10分； ②服务承诺详细全面，无合理化建议，计7分； ③服务承诺仅有框架无具体措施，计4分； ④未提供的不计分。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