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D4C17">
      <w:pPr>
        <w:spacing w:line="360" w:lineRule="auto"/>
        <w:ind w:firstLine="1767" w:firstLineChars="400"/>
        <w:jc w:val="both"/>
        <w:outlineLvl w:val="0"/>
        <w:rPr>
          <w:rFonts w:hAnsi="宋体"/>
          <w:b/>
          <w:color w:val="000000"/>
          <w:kern w:val="44"/>
          <w:sz w:val="44"/>
        </w:rPr>
      </w:pPr>
      <w:r>
        <w:rPr>
          <w:rFonts w:hint="eastAsia" w:hAnsi="宋体"/>
          <w:b/>
          <w:color w:val="000000"/>
          <w:kern w:val="44"/>
          <w:sz w:val="44"/>
          <w:lang w:val="en-US" w:eastAsia="zh-CN"/>
        </w:rPr>
        <w:t xml:space="preserve"> </w:t>
      </w:r>
      <w:r>
        <w:rPr>
          <w:rFonts w:hint="eastAsia" w:hAnsi="宋体"/>
          <w:b/>
          <w:color w:val="000000"/>
          <w:kern w:val="44"/>
          <w:sz w:val="44"/>
        </w:rPr>
        <w:t xml:space="preserve"> 合同主要条款</w:t>
      </w:r>
    </w:p>
    <w:p w14:paraId="3AFD02A5">
      <w:pPr>
        <w:adjustRightInd w:val="0"/>
        <w:snapToGrid w:val="0"/>
        <w:spacing w:line="460" w:lineRule="exact"/>
        <w:jc w:val="center"/>
        <w:rPr>
          <w:rFonts w:hAnsi="宋体"/>
          <w:color w:val="000000"/>
          <w:szCs w:val="21"/>
        </w:rPr>
      </w:pPr>
      <w:r>
        <w:rPr>
          <w:rFonts w:hAnsi="宋体"/>
          <w:color w:val="000000"/>
          <w:szCs w:val="21"/>
        </w:rPr>
        <w:t>（此合同样本仅供参考，最终签订的合同以采购人确定的合同内容为准。）</w:t>
      </w:r>
    </w:p>
    <w:p w14:paraId="175B4A30">
      <w:pPr>
        <w:spacing w:line="360" w:lineRule="auto"/>
        <w:jc w:val="center"/>
        <w:rPr>
          <w:rFonts w:hAnsi="宋体"/>
          <w:b/>
          <w:color w:val="000000"/>
          <w:sz w:val="32"/>
          <w:szCs w:val="32"/>
        </w:rPr>
      </w:pPr>
    </w:p>
    <w:p w14:paraId="721418D4">
      <w:pPr>
        <w:tabs>
          <w:tab w:val="left" w:pos="1995"/>
        </w:tabs>
        <w:spacing w:line="480" w:lineRule="auto"/>
        <w:ind w:firstLine="562" w:firstLineChars="200"/>
        <w:rPr>
          <w:rFonts w:hAnsi="宋体"/>
          <w:b/>
          <w:bCs/>
          <w:color w:val="000000"/>
          <w:sz w:val="36"/>
          <w:szCs w:val="36"/>
        </w:rPr>
      </w:pPr>
      <w:bookmarkStart w:id="0" w:name="_Toc10740"/>
      <w:r>
        <w:rPr>
          <w:rFonts w:hint="eastAsia" w:hAnsi="宋体"/>
          <w:b/>
          <w:color w:val="000000"/>
          <w:sz w:val="28"/>
          <w:szCs w:val="28"/>
          <w:lang w:val="en-US" w:eastAsia="zh-CN"/>
        </w:rPr>
        <w:t xml:space="preserve"> </w:t>
      </w:r>
      <w:r>
        <w:rPr>
          <w:rFonts w:hAnsi="宋体"/>
          <w:b/>
          <w:bCs/>
          <w:color w:val="000000"/>
          <w:sz w:val="36"/>
          <w:szCs w:val="36"/>
        </w:rPr>
        <w:br w:type="page"/>
      </w:r>
    </w:p>
    <w:p w14:paraId="574527A2">
      <w:pPr>
        <w:tabs>
          <w:tab w:val="left" w:pos="1995"/>
        </w:tabs>
        <w:spacing w:line="480" w:lineRule="auto"/>
        <w:rPr>
          <w:rFonts w:hAnsi="宋体"/>
          <w:b/>
          <w:bCs/>
          <w:color w:val="000000"/>
          <w:sz w:val="36"/>
          <w:szCs w:val="36"/>
        </w:rPr>
      </w:pPr>
      <w:r>
        <w:rPr>
          <w:rFonts w:hint="eastAsia" w:hAnsi="宋体"/>
          <w:color w:val="000000"/>
          <w:szCs w:val="24"/>
        </w:rPr>
        <w:t>采购人（甲方）：</w:t>
      </w:r>
    </w:p>
    <w:p w14:paraId="297A1472">
      <w:pPr>
        <w:snapToGrid w:val="0"/>
        <w:spacing w:line="360" w:lineRule="auto"/>
        <w:rPr>
          <w:rFonts w:hAnsi="宋体"/>
          <w:color w:val="000000"/>
          <w:szCs w:val="24"/>
        </w:rPr>
      </w:pPr>
      <w:r>
        <w:rPr>
          <w:rFonts w:hint="eastAsia" w:hAnsi="宋体"/>
          <w:color w:val="000000"/>
          <w:szCs w:val="24"/>
        </w:rPr>
        <w:t>供应商（乙方）：</w:t>
      </w:r>
    </w:p>
    <w:p w14:paraId="0011A433">
      <w:pPr>
        <w:snapToGrid w:val="0"/>
        <w:spacing w:line="360" w:lineRule="auto"/>
        <w:ind w:firstLine="480" w:firstLineChars="200"/>
        <w:rPr>
          <w:rFonts w:hAnsi="宋体"/>
          <w:color w:val="000000"/>
          <w:szCs w:val="24"/>
        </w:rPr>
      </w:pPr>
      <w:r>
        <w:rPr>
          <w:rFonts w:hint="eastAsia" w:hAnsi="宋体"/>
          <w:color w:val="000000"/>
          <w:szCs w:val="24"/>
        </w:rPr>
        <w:t>根据《中华人民共和国政府采购法》及其实施条例、《中华人民共和国民法典》和</w:t>
      </w:r>
      <w:r>
        <w:rPr>
          <w:rFonts w:hint="eastAsia" w:hAnsi="宋体"/>
          <w:color w:val="000000"/>
          <w:szCs w:val="24"/>
          <w:u w:val="single"/>
        </w:rPr>
        <w:t>项目名称：（项目编号：          ）</w:t>
      </w:r>
      <w:r>
        <w:rPr>
          <w:rFonts w:hint="eastAsia" w:hAnsi="宋体"/>
          <w:color w:val="000000"/>
          <w:szCs w:val="24"/>
        </w:rPr>
        <w:t>的采购文件、响应文件等有关规定，为确保甲方采购项目的顺利实施，甲、乙双方在平等自愿原则下签订本合同，并共同遵守如下条款：</w:t>
      </w:r>
    </w:p>
    <w:p w14:paraId="3FD4F0B9">
      <w:pPr>
        <w:snapToGrid w:val="0"/>
        <w:spacing w:line="360" w:lineRule="auto"/>
        <w:ind w:firstLine="482" w:firstLineChars="200"/>
        <w:rPr>
          <w:rFonts w:hAnsi="宋体"/>
          <w:b/>
          <w:bCs/>
          <w:color w:val="000000"/>
          <w:szCs w:val="24"/>
        </w:rPr>
      </w:pPr>
      <w:r>
        <w:rPr>
          <w:rFonts w:hint="eastAsia" w:hAnsi="宋体"/>
          <w:b/>
          <w:bCs/>
          <w:color w:val="000000"/>
          <w:szCs w:val="24"/>
        </w:rPr>
        <w:t>第一条  甲方采购的物品内容和含税价格</w:t>
      </w:r>
    </w:p>
    <w:p w14:paraId="6723CBE3">
      <w:pPr>
        <w:snapToGrid w:val="0"/>
        <w:spacing w:line="360" w:lineRule="auto"/>
        <w:ind w:firstLine="480" w:firstLineChars="200"/>
        <w:rPr>
          <w:rFonts w:hAnsi="宋体"/>
          <w:color w:val="000000"/>
          <w:szCs w:val="24"/>
        </w:rPr>
      </w:pPr>
      <w:r>
        <w:rPr>
          <w:rFonts w:hint="eastAsia" w:hAnsi="宋体"/>
          <w:color w:val="000000"/>
          <w:szCs w:val="24"/>
        </w:rPr>
        <w:t>货物名称、货物型号、数量（后附采购清单）。</w:t>
      </w:r>
    </w:p>
    <w:p w14:paraId="6351B368">
      <w:pPr>
        <w:snapToGrid w:val="0"/>
        <w:spacing w:line="360" w:lineRule="auto"/>
        <w:ind w:firstLine="480" w:firstLineChars="200"/>
        <w:rPr>
          <w:rFonts w:hAnsi="宋体"/>
          <w:color w:val="000000"/>
          <w:szCs w:val="24"/>
        </w:rPr>
      </w:pPr>
      <w:r>
        <w:rPr>
          <w:rFonts w:hint="eastAsia" w:hAnsi="宋体"/>
          <w:color w:val="000000"/>
          <w:szCs w:val="24"/>
        </w:rPr>
        <w:t>合同总价为：人民币大写________________（￥：</w:t>
      </w:r>
      <w:r>
        <w:rPr>
          <w:rFonts w:hint="eastAsia" w:hAnsi="宋体"/>
          <w:color w:val="000000"/>
          <w:szCs w:val="24"/>
          <w:u w:val="single"/>
        </w:rPr>
        <w:t xml:space="preserve">            </w:t>
      </w:r>
      <w:r>
        <w:rPr>
          <w:rFonts w:hint="eastAsia" w:hAnsi="宋体"/>
          <w:color w:val="000000"/>
          <w:szCs w:val="24"/>
        </w:rPr>
        <w:t>元)。</w:t>
      </w:r>
    </w:p>
    <w:p w14:paraId="505C84DB">
      <w:pPr>
        <w:snapToGrid w:val="0"/>
        <w:spacing w:line="360" w:lineRule="auto"/>
        <w:ind w:firstLine="480" w:firstLineChars="200"/>
        <w:rPr>
          <w:rFonts w:hAnsi="宋体" w:cs="宋体"/>
          <w:szCs w:val="24"/>
        </w:rPr>
      </w:pPr>
      <w:r>
        <w:rPr>
          <w:rFonts w:hAnsi="宋体" w:cs="宋体"/>
          <w:szCs w:val="24"/>
        </w:rPr>
        <w:t>本合同总价是货物（产品）设计、材料、制造、包装、运输、安装、调试、检测、验收合格交付使用之前及保修期内保修服务与备用物件等其他有关各项的含税费用。</w:t>
      </w:r>
    </w:p>
    <w:p w14:paraId="0861AADE">
      <w:pPr>
        <w:numPr>
          <w:ilvl w:val="0"/>
          <w:numId w:val="2"/>
        </w:numPr>
        <w:snapToGrid w:val="0"/>
        <w:spacing w:line="360" w:lineRule="auto"/>
        <w:ind w:firstLine="482" w:firstLineChars="200"/>
        <w:rPr>
          <w:rFonts w:hAnsi="宋体" w:cs="宋体"/>
          <w:b/>
          <w:bCs/>
          <w:szCs w:val="24"/>
        </w:rPr>
      </w:pPr>
      <w:r>
        <w:rPr>
          <w:rFonts w:hint="eastAsia" w:hAnsi="宋体" w:cs="宋体"/>
          <w:b/>
          <w:bCs/>
          <w:szCs w:val="24"/>
        </w:rPr>
        <w:t xml:space="preserve"> 交货地点</w:t>
      </w:r>
    </w:p>
    <w:p w14:paraId="25E4A9F1">
      <w:pPr>
        <w:snapToGrid w:val="0"/>
        <w:spacing w:line="360" w:lineRule="auto"/>
        <w:ind w:firstLine="480" w:firstLineChars="200"/>
        <w:rPr>
          <w:rFonts w:hAnsi="宋体" w:cs="宋体"/>
          <w:b/>
          <w:bCs/>
          <w:szCs w:val="24"/>
        </w:rPr>
      </w:pPr>
      <w:r>
        <w:rPr>
          <w:rFonts w:hint="eastAsia" w:hAnsi="宋体" w:cs="宋体"/>
          <w:szCs w:val="24"/>
        </w:rPr>
        <w:t>甲方指定地点</w:t>
      </w:r>
    </w:p>
    <w:p w14:paraId="50584B3B">
      <w:pPr>
        <w:numPr>
          <w:ilvl w:val="0"/>
          <w:numId w:val="2"/>
        </w:numPr>
        <w:snapToGrid w:val="0"/>
        <w:spacing w:line="360" w:lineRule="auto"/>
        <w:ind w:firstLine="482" w:firstLineChars="200"/>
        <w:rPr>
          <w:rFonts w:hAnsi="宋体" w:cs="宋体"/>
          <w:b/>
          <w:bCs/>
          <w:szCs w:val="24"/>
        </w:rPr>
      </w:pPr>
      <w:r>
        <w:rPr>
          <w:rFonts w:hint="eastAsia" w:hAnsi="宋体" w:cs="宋体"/>
          <w:b/>
          <w:bCs/>
          <w:szCs w:val="24"/>
        </w:rPr>
        <w:t xml:space="preserve"> 供货期限</w:t>
      </w:r>
    </w:p>
    <w:p w14:paraId="664AF79D">
      <w:pPr>
        <w:snapToGrid w:val="0"/>
        <w:spacing w:line="360" w:lineRule="auto"/>
        <w:ind w:firstLine="480" w:firstLineChars="200"/>
        <w:rPr>
          <w:rFonts w:hAnsi="宋体" w:cs="宋体"/>
          <w:szCs w:val="24"/>
        </w:rPr>
      </w:pPr>
      <w:r>
        <w:rPr>
          <w:rFonts w:hint="eastAsia" w:hAnsi="宋体" w:cs="宋体"/>
          <w:szCs w:val="24"/>
          <w:lang w:val="zh-CN"/>
        </w:rPr>
        <w:t>自合同签订之日起</w:t>
      </w:r>
      <w:r>
        <w:rPr>
          <w:rFonts w:hint="eastAsia" w:hAnsi="宋体" w:cs="宋体"/>
          <w:szCs w:val="24"/>
        </w:rPr>
        <w:t>30个日历日</w:t>
      </w:r>
      <w:r>
        <w:rPr>
          <w:rFonts w:hint="eastAsia" w:hAnsi="宋体" w:cs="宋体"/>
          <w:szCs w:val="24"/>
          <w:lang w:val="zh-CN"/>
        </w:rPr>
        <w:t>内。</w:t>
      </w:r>
    </w:p>
    <w:p w14:paraId="650A326D">
      <w:pPr>
        <w:snapToGrid w:val="0"/>
        <w:spacing w:line="360" w:lineRule="auto"/>
        <w:ind w:firstLine="482" w:firstLineChars="200"/>
        <w:rPr>
          <w:rFonts w:hAnsi="宋体" w:cs="宋体"/>
          <w:b/>
          <w:bCs/>
          <w:szCs w:val="24"/>
        </w:rPr>
      </w:pPr>
      <w:r>
        <w:rPr>
          <w:rFonts w:hint="eastAsia" w:hAnsi="宋体" w:cs="宋体"/>
          <w:b/>
          <w:bCs/>
          <w:szCs w:val="24"/>
        </w:rPr>
        <w:t>第四条  质保期</w:t>
      </w:r>
    </w:p>
    <w:p w14:paraId="050930C5">
      <w:pPr>
        <w:snapToGrid w:val="0"/>
        <w:spacing w:line="360" w:lineRule="auto"/>
        <w:ind w:firstLine="480" w:firstLineChars="200"/>
        <w:rPr>
          <w:rFonts w:hint="eastAsia" w:hAnsi="宋体" w:cs="宋体"/>
          <w:szCs w:val="24"/>
        </w:rPr>
      </w:pPr>
      <w:r>
        <w:rPr>
          <w:rFonts w:hint="eastAsia" w:hAnsi="宋体" w:cs="宋体"/>
          <w:szCs w:val="24"/>
        </w:rPr>
        <w:t>所有货物以验收之日为质保起始日期，质保期3年，质保期内免费上门提供服务。</w:t>
      </w:r>
    </w:p>
    <w:p w14:paraId="764350D6">
      <w:pPr>
        <w:snapToGrid w:val="0"/>
        <w:spacing w:line="360" w:lineRule="auto"/>
        <w:ind w:firstLine="482" w:firstLineChars="200"/>
        <w:rPr>
          <w:rFonts w:hAnsi="宋体" w:cs="宋体"/>
          <w:b/>
          <w:bCs/>
          <w:szCs w:val="24"/>
        </w:rPr>
      </w:pPr>
      <w:r>
        <w:rPr>
          <w:rFonts w:hint="eastAsia" w:hAnsi="宋体" w:cs="宋体"/>
          <w:b/>
          <w:bCs/>
          <w:szCs w:val="24"/>
        </w:rPr>
        <w:t>第五条  付款方式</w:t>
      </w:r>
    </w:p>
    <w:p w14:paraId="0F811403">
      <w:pPr>
        <w:snapToGrid w:val="0"/>
        <w:spacing w:line="360" w:lineRule="auto"/>
        <w:ind w:firstLine="480" w:firstLineChars="200"/>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 xml:space="preserve"> </w:t>
      </w:r>
      <w:r>
        <w:rPr>
          <w:rFonts w:hint="eastAsia" w:hAnsi="宋体"/>
          <w:color w:val="000000" w:themeColor="text1"/>
          <w:szCs w:val="24"/>
          <w:lang w:val="en-US" w:eastAsia="zh-CN"/>
          <w14:textFill>
            <w14:solidFill>
              <w14:schemeClr w14:val="tx1"/>
            </w14:solidFill>
          </w14:textFill>
        </w:rPr>
        <w:t>项目整体验收合格交付使用后一年内</w:t>
      </w:r>
      <w:bookmarkStart w:id="1" w:name="_GoBack"/>
      <w:bookmarkEnd w:id="1"/>
      <w:r>
        <w:rPr>
          <w:rFonts w:hint="eastAsia" w:hAnsi="宋体"/>
          <w:color w:val="000000" w:themeColor="text1"/>
          <w:szCs w:val="24"/>
          <w14:textFill>
            <w14:solidFill>
              <w14:schemeClr w14:val="tx1"/>
            </w14:solidFill>
          </w14:textFill>
        </w:rPr>
        <w:t>，达到付款条件起</w:t>
      </w:r>
      <w:r>
        <w:rPr>
          <w:rFonts w:hint="eastAsia" w:hAnsi="宋体"/>
          <w:color w:val="000000" w:themeColor="text1"/>
          <w:szCs w:val="24"/>
          <w:lang w:val="en-US" w:eastAsia="zh-CN"/>
          <w14:textFill>
            <w14:solidFill>
              <w14:schemeClr w14:val="tx1"/>
            </w14:solidFill>
          </w14:textFill>
        </w:rPr>
        <w:t>99</w:t>
      </w:r>
      <w:r>
        <w:rPr>
          <w:rFonts w:hint="eastAsia" w:hAnsi="宋体"/>
          <w:color w:val="000000" w:themeColor="text1"/>
          <w:szCs w:val="24"/>
          <w14:textFill>
            <w14:solidFill>
              <w14:schemeClr w14:val="tx1"/>
            </w14:solidFill>
          </w14:textFill>
        </w:rPr>
        <w:t xml:space="preserve"> 日内，支付合同总金额的 100.00%，供应商应根据采购人需要提供等额正规发票给采购人。</w:t>
      </w:r>
    </w:p>
    <w:p w14:paraId="65E96AB7">
      <w:pPr>
        <w:snapToGrid w:val="0"/>
        <w:spacing w:line="360" w:lineRule="auto"/>
        <w:ind w:firstLine="482" w:firstLineChars="200"/>
        <w:rPr>
          <w:rFonts w:hAnsi="宋体"/>
          <w:b/>
          <w:bCs/>
          <w:color w:val="000000" w:themeColor="text1"/>
          <w:szCs w:val="24"/>
          <w14:textFill>
            <w14:solidFill>
              <w14:schemeClr w14:val="tx1"/>
            </w14:solidFill>
          </w14:textFill>
        </w:rPr>
      </w:pPr>
      <w:r>
        <w:rPr>
          <w:rFonts w:hint="eastAsia" w:hAnsi="宋体"/>
          <w:b/>
          <w:bCs/>
          <w:color w:val="000000" w:themeColor="text1"/>
          <w:szCs w:val="24"/>
          <w14:textFill>
            <w14:solidFill>
              <w14:schemeClr w14:val="tx1"/>
            </w14:solidFill>
          </w14:textFill>
        </w:rPr>
        <w:t>第六条  产品质保期（三包期）内，修改、更换、退货要求</w:t>
      </w:r>
    </w:p>
    <w:p w14:paraId="46AFCE17">
      <w:pPr>
        <w:snapToGrid w:val="0"/>
        <w:spacing w:line="360" w:lineRule="auto"/>
        <w:ind w:firstLine="480" w:firstLineChars="200"/>
        <w:rPr>
          <w:rFonts w:hAnsi="宋体" w:cs="宋体"/>
          <w:szCs w:val="24"/>
        </w:rPr>
      </w:pPr>
      <w:r>
        <w:rPr>
          <w:rFonts w:hint="eastAsia" w:hAnsi="宋体" w:cs="宋体"/>
          <w:szCs w:val="24"/>
        </w:rPr>
        <w:t>1.</w:t>
      </w:r>
      <w:r>
        <w:rPr>
          <w:rFonts w:hAnsi="宋体" w:cs="宋体"/>
          <w:szCs w:val="24"/>
        </w:rPr>
        <w:t>中标人的产品质量应当符合国家</w:t>
      </w:r>
      <w:r>
        <w:rPr>
          <w:rFonts w:hint="eastAsia" w:hAnsi="宋体" w:cs="宋体"/>
          <w:szCs w:val="24"/>
        </w:rPr>
        <w:t>及</w:t>
      </w:r>
      <w:r>
        <w:rPr>
          <w:rFonts w:hAnsi="宋体" w:cs="宋体"/>
          <w:szCs w:val="24"/>
        </w:rPr>
        <w:t>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w:t>
      </w:r>
    </w:p>
    <w:p w14:paraId="61821980">
      <w:pPr>
        <w:snapToGrid w:val="0"/>
        <w:spacing w:line="360" w:lineRule="auto"/>
        <w:ind w:firstLine="480" w:firstLineChars="200"/>
        <w:rPr>
          <w:rFonts w:hAnsi="宋体"/>
          <w:color w:val="000000"/>
          <w:szCs w:val="24"/>
        </w:rPr>
      </w:pPr>
      <w:r>
        <w:rPr>
          <w:rFonts w:hint="eastAsia" w:hAnsi="宋体" w:cs="宋体"/>
          <w:szCs w:val="24"/>
        </w:rPr>
        <w:t>2.</w:t>
      </w:r>
      <w:r>
        <w:rPr>
          <w:rFonts w:hAnsi="宋体" w:cs="宋体"/>
          <w:szCs w:val="24"/>
        </w:rPr>
        <w:t>如交付品种、型号、规格不符合同约定的，由中标人负责退换，由此产生的一切费用及给采购人造成的相关损失由中标人全部承担并赔偿相应损失</w:t>
      </w:r>
      <w:r>
        <w:rPr>
          <w:rFonts w:hint="eastAsia" w:hAnsi="宋体" w:cs="宋体"/>
          <w:szCs w:val="24"/>
        </w:rPr>
        <w:t>。</w:t>
      </w:r>
    </w:p>
    <w:p w14:paraId="571938D6">
      <w:pPr>
        <w:snapToGrid w:val="0"/>
        <w:spacing w:line="360" w:lineRule="auto"/>
        <w:ind w:firstLine="480" w:firstLineChars="200"/>
        <w:rPr>
          <w:rFonts w:hAnsi="宋体"/>
          <w:color w:val="000000"/>
          <w:szCs w:val="24"/>
        </w:rPr>
      </w:pPr>
      <w:r>
        <w:rPr>
          <w:rFonts w:hint="eastAsia" w:hAnsi="宋体" w:cs="宋体"/>
          <w:szCs w:val="24"/>
        </w:rPr>
        <w:t>3.</w:t>
      </w:r>
      <w:r>
        <w:rPr>
          <w:rFonts w:hAnsi="宋体" w:cs="宋体"/>
          <w:szCs w:val="24"/>
        </w:rPr>
        <w:t>如不能修理或者不能调换的，按不能交货处理，因此给采购人造成的所有经济损失中标人应予全额赔偿</w:t>
      </w:r>
      <w:r>
        <w:rPr>
          <w:rFonts w:hint="eastAsia" w:hAnsi="宋体" w:cs="宋体"/>
          <w:szCs w:val="24"/>
        </w:rPr>
        <w:t>。</w:t>
      </w:r>
    </w:p>
    <w:p w14:paraId="7DA654D0">
      <w:pPr>
        <w:snapToGrid w:val="0"/>
        <w:spacing w:line="360" w:lineRule="auto"/>
        <w:ind w:firstLine="480" w:firstLineChars="200"/>
        <w:rPr>
          <w:rFonts w:hAnsi="宋体"/>
          <w:color w:val="000000"/>
          <w:szCs w:val="24"/>
        </w:rPr>
      </w:pPr>
      <w:r>
        <w:rPr>
          <w:rFonts w:hint="eastAsia" w:hAnsi="宋体" w:cs="宋体"/>
          <w:szCs w:val="24"/>
        </w:rPr>
        <w:t>4.</w:t>
      </w:r>
      <w:r>
        <w:rPr>
          <w:rFonts w:hAnsi="宋体" w:cs="宋体"/>
          <w:szCs w:val="24"/>
        </w:rPr>
        <w:t>保修期内由中标人免费质保，采购人报修后三日内投标人必须响应，否则将依据有关法律、法规进行追偿。</w:t>
      </w:r>
    </w:p>
    <w:p w14:paraId="71109F0E">
      <w:pPr>
        <w:snapToGrid w:val="0"/>
        <w:spacing w:line="360" w:lineRule="auto"/>
        <w:ind w:firstLine="480" w:firstLineChars="200"/>
        <w:rPr>
          <w:rFonts w:hAnsi="宋体"/>
          <w:color w:val="000000"/>
          <w:szCs w:val="24"/>
        </w:rPr>
      </w:pPr>
      <w:r>
        <w:rPr>
          <w:rFonts w:hint="eastAsia" w:hAnsi="宋体" w:cs="宋体"/>
          <w:szCs w:val="24"/>
        </w:rPr>
        <w:t>5.</w:t>
      </w:r>
      <w:r>
        <w:rPr>
          <w:rFonts w:hAnsi="宋体" w:cs="宋体"/>
          <w:szCs w:val="24"/>
        </w:rPr>
        <w:t>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14:paraId="25B2C0B7">
      <w:pPr>
        <w:autoSpaceDE w:val="0"/>
        <w:autoSpaceDN w:val="0"/>
        <w:adjustRightInd w:val="0"/>
        <w:snapToGrid w:val="0"/>
        <w:spacing w:line="348" w:lineRule="auto"/>
        <w:ind w:firstLine="482" w:firstLineChars="200"/>
        <w:jc w:val="both"/>
        <w:rPr>
          <w:rFonts w:ascii="黑体" w:hAnsi="黑体" w:eastAsia="黑体" w:cs="黑体"/>
          <w:color w:val="000000" w:themeColor="text1"/>
          <w:szCs w:val="24"/>
          <w:lang w:val="zh-CN"/>
          <w14:textFill>
            <w14:solidFill>
              <w14:schemeClr w14:val="tx1"/>
            </w14:solidFill>
          </w14:textFill>
        </w:rPr>
      </w:pPr>
      <w:r>
        <w:rPr>
          <w:rFonts w:hint="eastAsia" w:hAnsi="宋体"/>
          <w:b/>
          <w:bCs/>
          <w:color w:val="000000"/>
          <w:szCs w:val="24"/>
        </w:rPr>
        <w:t>第七条</w:t>
      </w:r>
      <w:r>
        <w:rPr>
          <w:rFonts w:hint="eastAsia" w:hAnsi="宋体"/>
          <w:color w:val="000000"/>
          <w:szCs w:val="24"/>
        </w:rPr>
        <w:t xml:space="preserve">  </w:t>
      </w:r>
      <w:r>
        <w:rPr>
          <w:rFonts w:hint="eastAsia" w:ascii="黑体" w:hAnsi="黑体" w:eastAsia="黑体" w:cs="黑体"/>
          <w:color w:val="000000" w:themeColor="text1"/>
          <w:szCs w:val="24"/>
          <w14:textFill>
            <w14:solidFill>
              <w14:schemeClr w14:val="tx1"/>
            </w14:solidFill>
          </w14:textFill>
        </w:rPr>
        <w:t>项目验收</w:t>
      </w:r>
    </w:p>
    <w:p w14:paraId="55980438">
      <w:pPr>
        <w:autoSpaceDE w:val="0"/>
        <w:autoSpaceDN w:val="0"/>
        <w:adjustRightInd w:val="0"/>
        <w:snapToGrid w:val="0"/>
        <w:spacing w:line="348" w:lineRule="auto"/>
        <w:ind w:firstLine="480" w:firstLineChars="200"/>
        <w:jc w:val="both"/>
        <w:rPr>
          <w:rFonts w:hAnsi="宋体" w:cs="宋体"/>
          <w:szCs w:val="24"/>
        </w:rPr>
      </w:pPr>
      <w:r>
        <w:rPr>
          <w:rFonts w:hAnsi="宋体" w:cs="宋体"/>
          <w:szCs w:val="24"/>
        </w:rPr>
        <w:t>1</w:t>
      </w:r>
      <w:r>
        <w:rPr>
          <w:rFonts w:hint="eastAsia" w:hAnsi="宋体" w:cs="宋体"/>
          <w:szCs w:val="24"/>
        </w:rPr>
        <w:t>.</w:t>
      </w:r>
      <w:r>
        <w:rPr>
          <w:rFonts w:hAnsi="宋体" w:cs="宋体"/>
          <w:szCs w:val="24"/>
        </w:rPr>
        <w:t>交货检验：</w:t>
      </w:r>
      <w:r>
        <w:rPr>
          <w:rFonts w:hint="eastAsia" w:hAnsi="宋体" w:cs="宋体"/>
          <w:color w:val="000000"/>
          <w:szCs w:val="24"/>
        </w:rPr>
        <w:t>货物到达交货地点后</w:t>
      </w:r>
      <w:r>
        <w:rPr>
          <w:rFonts w:hAnsi="宋体" w:cs="宋体"/>
          <w:szCs w:val="24"/>
        </w:rPr>
        <w:t>，由采购人、中标人对</w:t>
      </w:r>
      <w:r>
        <w:rPr>
          <w:rFonts w:hint="eastAsia" w:hAnsi="宋体" w:cs="宋体"/>
          <w:szCs w:val="24"/>
        </w:rPr>
        <w:t>货物</w:t>
      </w:r>
      <w:r>
        <w:rPr>
          <w:rFonts w:hAnsi="宋体" w:cs="宋体"/>
          <w:szCs w:val="24"/>
        </w:rPr>
        <w:t>进行开箱检查，检查内容包括：</w:t>
      </w:r>
      <w:r>
        <w:rPr>
          <w:rFonts w:hint="eastAsia" w:hAnsi="宋体" w:cs="宋体"/>
          <w:szCs w:val="24"/>
        </w:rPr>
        <w:t>货物</w:t>
      </w:r>
      <w:r>
        <w:rPr>
          <w:rFonts w:hAnsi="宋体" w:cs="宋体"/>
          <w:szCs w:val="24"/>
        </w:rPr>
        <w:t>名称、</w:t>
      </w:r>
      <w:r>
        <w:rPr>
          <w:rFonts w:hint="eastAsia" w:hAnsi="宋体" w:cs="宋体"/>
          <w:szCs w:val="24"/>
        </w:rPr>
        <w:t>品牌、</w:t>
      </w:r>
      <w:r>
        <w:rPr>
          <w:rFonts w:hAnsi="宋体" w:cs="宋体"/>
          <w:szCs w:val="24"/>
        </w:rPr>
        <w:t>规格型号、配置要求、制造商、原产地等。若</w:t>
      </w:r>
      <w:r>
        <w:rPr>
          <w:rFonts w:hint="eastAsia" w:hAnsi="宋体" w:cs="宋体"/>
          <w:szCs w:val="24"/>
        </w:rPr>
        <w:t>货物</w:t>
      </w:r>
      <w:r>
        <w:rPr>
          <w:rFonts w:hAnsi="宋体" w:cs="宋体"/>
          <w:szCs w:val="24"/>
        </w:rPr>
        <w:t>与合同要求不符，采购人将拒绝接收。</w:t>
      </w:r>
    </w:p>
    <w:p w14:paraId="43E6CD15">
      <w:pPr>
        <w:autoSpaceDE w:val="0"/>
        <w:autoSpaceDN w:val="0"/>
        <w:adjustRightInd w:val="0"/>
        <w:snapToGrid w:val="0"/>
        <w:spacing w:line="348" w:lineRule="auto"/>
        <w:ind w:firstLine="480" w:firstLineChars="200"/>
        <w:jc w:val="both"/>
        <w:rPr>
          <w:rFonts w:hAnsi="宋体" w:cs="宋体"/>
          <w:szCs w:val="24"/>
        </w:rPr>
      </w:pPr>
      <w:r>
        <w:rPr>
          <w:rFonts w:hAnsi="宋体" w:cs="宋体"/>
          <w:szCs w:val="24"/>
        </w:rPr>
        <w:t>2</w:t>
      </w:r>
      <w:r>
        <w:rPr>
          <w:rFonts w:hint="eastAsia" w:hAnsi="宋体" w:cs="宋体"/>
          <w:szCs w:val="24"/>
        </w:rPr>
        <w:t>.</w:t>
      </w:r>
      <w:r>
        <w:rPr>
          <w:rFonts w:hAnsi="宋体" w:cs="宋体"/>
          <w:szCs w:val="24"/>
        </w:rPr>
        <w:t>技术验收：交货检验后，由中标人负责安装调试。安装调试完毕后，中标人提交验收文件，采购人的</w:t>
      </w:r>
      <w:r>
        <w:rPr>
          <w:rFonts w:hint="eastAsia" w:hAnsi="宋体" w:cs="宋体"/>
          <w:szCs w:val="24"/>
        </w:rPr>
        <w:t>货物</w:t>
      </w:r>
      <w:r>
        <w:rPr>
          <w:rFonts w:hAnsi="宋体" w:cs="宋体"/>
          <w:szCs w:val="24"/>
        </w:rPr>
        <w:t>使用单位对设备进行技术验收（中标人协助），验收以国家标准或以合同文本中描述的有关技术要求为准。</w:t>
      </w:r>
    </w:p>
    <w:p w14:paraId="08567852">
      <w:pPr>
        <w:autoSpaceDE w:val="0"/>
        <w:autoSpaceDN w:val="0"/>
        <w:adjustRightInd w:val="0"/>
        <w:snapToGrid w:val="0"/>
        <w:spacing w:line="348" w:lineRule="auto"/>
        <w:ind w:firstLine="480" w:firstLineChars="200"/>
        <w:jc w:val="both"/>
        <w:rPr>
          <w:rFonts w:hAnsi="宋体" w:cs="宋体"/>
          <w:color w:val="000000"/>
          <w:szCs w:val="24"/>
        </w:rPr>
      </w:pPr>
      <w:r>
        <w:rPr>
          <w:rFonts w:hAnsi="宋体" w:cs="宋体"/>
          <w:szCs w:val="24"/>
        </w:rPr>
        <w:t>3</w:t>
      </w:r>
      <w:r>
        <w:rPr>
          <w:rFonts w:hint="eastAsia" w:hAnsi="宋体" w:cs="宋体"/>
          <w:szCs w:val="24"/>
        </w:rPr>
        <w:t>.</w:t>
      </w:r>
      <w:r>
        <w:rPr>
          <w:rFonts w:hAnsi="宋体" w:cs="宋体"/>
          <w:szCs w:val="24"/>
        </w:rPr>
        <w:t>最终验收：技术验收合格后的，采购人根据使用单位技术验收报告，组织相关部门</w:t>
      </w:r>
      <w:r>
        <w:rPr>
          <w:rFonts w:hint="eastAsia" w:hAnsi="宋体" w:cs="宋体"/>
          <w:szCs w:val="24"/>
        </w:rPr>
        <w:t>及专家</w:t>
      </w:r>
      <w:r>
        <w:rPr>
          <w:rFonts w:hAnsi="宋体" w:cs="宋体"/>
          <w:szCs w:val="24"/>
        </w:rPr>
        <w:t>对</w:t>
      </w:r>
      <w:r>
        <w:rPr>
          <w:rFonts w:hint="eastAsia" w:hAnsi="宋体" w:cs="宋体"/>
          <w:szCs w:val="24"/>
        </w:rPr>
        <w:t>货物</w:t>
      </w:r>
      <w:r>
        <w:rPr>
          <w:rFonts w:hAnsi="宋体" w:cs="宋体"/>
          <w:szCs w:val="24"/>
        </w:rPr>
        <w:t xml:space="preserve">进行最终验收。 </w:t>
      </w:r>
    </w:p>
    <w:p w14:paraId="7852A585">
      <w:pPr>
        <w:autoSpaceDE w:val="0"/>
        <w:autoSpaceDN w:val="0"/>
        <w:adjustRightInd w:val="0"/>
        <w:snapToGrid w:val="0"/>
        <w:spacing w:line="348" w:lineRule="auto"/>
        <w:ind w:firstLine="480" w:firstLineChars="200"/>
        <w:jc w:val="both"/>
        <w:rPr>
          <w:rFonts w:hAnsi="宋体" w:cs="宋体"/>
          <w:color w:val="000000"/>
          <w:szCs w:val="24"/>
        </w:rPr>
      </w:pPr>
      <w:r>
        <w:rPr>
          <w:rFonts w:hint="eastAsia" w:hAnsi="宋体" w:cs="宋体"/>
          <w:color w:val="000000"/>
          <w:szCs w:val="24"/>
        </w:rPr>
        <w:t>4.验收依据</w:t>
      </w:r>
    </w:p>
    <w:p w14:paraId="15A4E750">
      <w:pPr>
        <w:autoSpaceDE w:val="0"/>
        <w:autoSpaceDN w:val="0"/>
        <w:adjustRightInd w:val="0"/>
        <w:snapToGrid w:val="0"/>
        <w:spacing w:line="348" w:lineRule="auto"/>
        <w:ind w:firstLine="480" w:firstLineChars="200"/>
        <w:jc w:val="both"/>
        <w:rPr>
          <w:rFonts w:hAnsi="宋体" w:cs="宋体"/>
          <w:color w:val="000000"/>
          <w:szCs w:val="24"/>
        </w:rPr>
      </w:pPr>
      <w:r>
        <w:rPr>
          <w:rFonts w:hint="eastAsia" w:hAnsi="宋体" w:cs="宋体"/>
          <w:color w:val="000000"/>
          <w:szCs w:val="24"/>
        </w:rPr>
        <w:t xml:space="preserve">（1）合同文本； </w:t>
      </w:r>
    </w:p>
    <w:p w14:paraId="724AB59C">
      <w:pPr>
        <w:autoSpaceDE w:val="0"/>
        <w:autoSpaceDN w:val="0"/>
        <w:adjustRightInd w:val="0"/>
        <w:snapToGrid w:val="0"/>
        <w:spacing w:line="348" w:lineRule="auto"/>
        <w:ind w:firstLine="480" w:firstLineChars="200"/>
        <w:jc w:val="both"/>
        <w:rPr>
          <w:rFonts w:hAnsi="宋体" w:cs="宋体"/>
          <w:color w:val="000000"/>
          <w:szCs w:val="24"/>
        </w:rPr>
      </w:pPr>
      <w:r>
        <w:rPr>
          <w:rFonts w:hint="eastAsia" w:hAnsi="宋体" w:cs="宋体"/>
          <w:color w:val="000000"/>
          <w:szCs w:val="24"/>
        </w:rPr>
        <w:t>（2）招标文件；</w:t>
      </w:r>
    </w:p>
    <w:p w14:paraId="372621CD">
      <w:pPr>
        <w:autoSpaceDE w:val="0"/>
        <w:autoSpaceDN w:val="0"/>
        <w:adjustRightInd w:val="0"/>
        <w:snapToGrid w:val="0"/>
        <w:spacing w:line="348" w:lineRule="auto"/>
        <w:ind w:firstLine="480" w:firstLineChars="200"/>
        <w:jc w:val="both"/>
        <w:rPr>
          <w:rFonts w:hAnsi="宋体" w:cs="宋体"/>
          <w:color w:val="000000"/>
          <w:szCs w:val="24"/>
        </w:rPr>
      </w:pPr>
      <w:r>
        <w:rPr>
          <w:rFonts w:hint="eastAsia" w:hAnsi="宋体" w:cs="宋体"/>
          <w:color w:val="000000"/>
          <w:szCs w:val="24"/>
        </w:rPr>
        <w:t>（3）中标人的投标文件；</w:t>
      </w:r>
    </w:p>
    <w:p w14:paraId="4CEB8053">
      <w:pPr>
        <w:autoSpaceDE w:val="0"/>
        <w:autoSpaceDN w:val="0"/>
        <w:adjustRightInd w:val="0"/>
        <w:snapToGrid w:val="0"/>
        <w:spacing w:line="348" w:lineRule="auto"/>
        <w:ind w:firstLine="480" w:firstLineChars="200"/>
        <w:jc w:val="both"/>
        <w:rPr>
          <w:rFonts w:hAnsi="宋体" w:cs="宋体"/>
          <w:color w:val="000000"/>
          <w:szCs w:val="24"/>
        </w:rPr>
      </w:pPr>
      <w:r>
        <w:rPr>
          <w:rFonts w:hint="eastAsia" w:hAnsi="宋体" w:cs="宋体"/>
          <w:color w:val="000000"/>
          <w:szCs w:val="24"/>
        </w:rPr>
        <w:t>（4）货物清单；</w:t>
      </w:r>
    </w:p>
    <w:p w14:paraId="01A6DB9B">
      <w:pPr>
        <w:autoSpaceDE w:val="0"/>
        <w:autoSpaceDN w:val="0"/>
        <w:adjustRightInd w:val="0"/>
        <w:snapToGrid w:val="0"/>
        <w:spacing w:line="348" w:lineRule="auto"/>
        <w:ind w:firstLine="480" w:firstLineChars="200"/>
        <w:jc w:val="both"/>
        <w:rPr>
          <w:rFonts w:hAnsi="宋体" w:cs="宋体"/>
          <w:color w:val="000000"/>
          <w:szCs w:val="24"/>
        </w:rPr>
      </w:pPr>
      <w:r>
        <w:rPr>
          <w:rFonts w:hint="eastAsia" w:hAnsi="宋体" w:cs="宋体"/>
          <w:color w:val="000000"/>
          <w:szCs w:val="24"/>
        </w:rPr>
        <w:t>（5）产品的合法来源渠道证明文件、响应功能证明材料；</w:t>
      </w:r>
    </w:p>
    <w:p w14:paraId="7943688D">
      <w:pPr>
        <w:autoSpaceDE w:val="0"/>
        <w:autoSpaceDN w:val="0"/>
        <w:adjustRightInd w:val="0"/>
        <w:snapToGrid w:val="0"/>
        <w:spacing w:line="348" w:lineRule="auto"/>
        <w:ind w:firstLine="480" w:firstLineChars="200"/>
        <w:jc w:val="both"/>
        <w:rPr>
          <w:rFonts w:hAnsi="宋体" w:cs="宋体"/>
          <w:color w:val="000000"/>
          <w:szCs w:val="24"/>
        </w:rPr>
      </w:pPr>
      <w:r>
        <w:rPr>
          <w:rFonts w:hint="eastAsia" w:hAnsi="宋体"/>
          <w:color w:val="000000" w:themeColor="text1"/>
          <w:szCs w:val="24"/>
          <w14:textFill>
            <w14:solidFill>
              <w14:schemeClr w14:val="tx1"/>
            </w14:solidFill>
          </w14:textFill>
        </w:rPr>
        <w:t>（6）国家和行业制定的相应的标准和规范。</w:t>
      </w:r>
    </w:p>
    <w:p w14:paraId="2A0EDF9D">
      <w:pPr>
        <w:snapToGrid w:val="0"/>
        <w:spacing w:line="360" w:lineRule="auto"/>
        <w:ind w:firstLine="482" w:firstLineChars="200"/>
        <w:rPr>
          <w:rFonts w:hAnsi="宋体"/>
          <w:b/>
          <w:bCs/>
          <w:color w:val="000000"/>
          <w:szCs w:val="24"/>
        </w:rPr>
      </w:pPr>
      <w:r>
        <w:rPr>
          <w:rFonts w:hint="eastAsia" w:hAnsi="宋体"/>
          <w:b/>
          <w:bCs/>
          <w:color w:val="000000"/>
          <w:szCs w:val="24"/>
        </w:rPr>
        <w:t>第七条 甲方的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hAnsi="宋体"/>
          <w:b/>
          <w:bCs/>
          <w:color w:val="000000"/>
          <w:szCs w:val="24"/>
        </w:rPr>
        <w:t>违约责任</w:t>
      </w:r>
      <w:r>
        <w:rPr>
          <w:rFonts w:hint="eastAsia" w:hAnsi="宋体"/>
          <w:b/>
          <w:bCs/>
          <w:color w:val="000000"/>
          <w:szCs w:val="24"/>
        </w:rPr>
        <w:fldChar w:fldCharType="end"/>
      </w:r>
    </w:p>
    <w:p w14:paraId="17A548C1">
      <w:pPr>
        <w:snapToGrid w:val="0"/>
        <w:spacing w:line="360" w:lineRule="auto"/>
        <w:ind w:firstLine="480" w:firstLineChars="200"/>
        <w:rPr>
          <w:rFonts w:hAnsi="宋体"/>
          <w:color w:val="000000"/>
          <w:szCs w:val="24"/>
        </w:rPr>
      </w:pPr>
      <w:r>
        <w:rPr>
          <w:rFonts w:hint="eastAsia" w:hAnsi="宋体"/>
          <w:color w:val="000000"/>
          <w:szCs w:val="24"/>
        </w:rPr>
        <w:t>1、甲方逾期付款，应就逾期部分向乙方支付按照中国人民银行规定的同期贷款基准利率计算的逾期付款违约金。</w:t>
      </w:r>
    </w:p>
    <w:p w14:paraId="3AE4C8DD">
      <w:pPr>
        <w:snapToGrid w:val="0"/>
        <w:spacing w:line="360" w:lineRule="auto"/>
        <w:ind w:firstLine="480" w:firstLineChars="200"/>
        <w:rPr>
          <w:rFonts w:hAnsi="宋体"/>
          <w:color w:val="000000"/>
          <w:szCs w:val="24"/>
        </w:rPr>
      </w:pPr>
      <w:r>
        <w:rPr>
          <w:rFonts w:hint="eastAsia" w:hAnsi="宋体"/>
          <w:color w:val="000000"/>
          <w:szCs w:val="24"/>
        </w:rPr>
        <w:t>2、甲方违反合同规定拒绝接货的，应当承担由此对乙方造成的损失。</w:t>
      </w:r>
    </w:p>
    <w:p w14:paraId="75FA9B53">
      <w:pPr>
        <w:snapToGrid w:val="0"/>
        <w:spacing w:line="360" w:lineRule="auto"/>
        <w:ind w:firstLine="482" w:firstLineChars="200"/>
        <w:rPr>
          <w:rFonts w:hAnsi="宋体"/>
          <w:color w:val="000000"/>
          <w:szCs w:val="24"/>
        </w:rPr>
      </w:pPr>
      <w:r>
        <w:rPr>
          <w:rFonts w:hint="eastAsia" w:hAnsi="宋体"/>
          <w:b/>
          <w:bCs/>
          <w:color w:val="000000"/>
          <w:szCs w:val="24"/>
        </w:rPr>
        <w:t>第八条 乙方的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hAnsi="宋体"/>
          <w:b/>
          <w:bCs/>
          <w:color w:val="000000"/>
          <w:szCs w:val="24"/>
        </w:rPr>
        <w:t>违约责任</w:t>
      </w:r>
      <w:r>
        <w:rPr>
          <w:rFonts w:hint="eastAsia" w:hAnsi="宋体"/>
          <w:b/>
          <w:bCs/>
          <w:color w:val="000000"/>
          <w:szCs w:val="24"/>
        </w:rPr>
        <w:fldChar w:fldCharType="end"/>
      </w:r>
    </w:p>
    <w:p w14:paraId="2A25C593">
      <w:pPr>
        <w:snapToGrid w:val="0"/>
        <w:spacing w:line="360" w:lineRule="auto"/>
        <w:ind w:firstLine="480" w:firstLineChars="200"/>
        <w:rPr>
          <w:rFonts w:hAnsi="宋体"/>
          <w:color w:val="000000"/>
          <w:szCs w:val="24"/>
        </w:rPr>
      </w:pPr>
      <w:r>
        <w:rPr>
          <w:rFonts w:hint="eastAsia" w:hAnsi="宋体"/>
          <w:color w:val="000000"/>
          <w:szCs w:val="24"/>
        </w:rPr>
        <w:t>1、乙方不能按期交货的，每逾期1日，乙方应向甲方赔付合同总价的1%作为违约金，</w:t>
      </w:r>
      <w:r>
        <w:rPr>
          <w:rFonts w:hAnsi="宋体" w:cs="宋体"/>
          <w:szCs w:val="24"/>
        </w:rPr>
        <w:t>但不超过合同总金额的10%。中标人支付逾期交货违约金并不免除其交货的责任。</w:t>
      </w:r>
    </w:p>
    <w:p w14:paraId="06196D26">
      <w:pPr>
        <w:snapToGrid w:val="0"/>
        <w:spacing w:line="360" w:lineRule="auto"/>
        <w:ind w:firstLine="480" w:firstLineChars="200"/>
        <w:rPr>
          <w:rFonts w:hAnsi="宋体"/>
          <w:color w:val="000000"/>
          <w:szCs w:val="24"/>
        </w:rPr>
      </w:pPr>
      <w:r>
        <w:rPr>
          <w:rFonts w:hint="eastAsia" w:hAnsi="宋体"/>
          <w:color w:val="000000"/>
          <w:szCs w:val="24"/>
        </w:rPr>
        <w:t>2、乙方所交货物不符合国家法律法规和合同规定的，甲方有权拒收，并由乙方承担一切费用。</w:t>
      </w:r>
    </w:p>
    <w:p w14:paraId="187D0EFE">
      <w:pPr>
        <w:snapToGrid w:val="0"/>
        <w:spacing w:line="360" w:lineRule="auto"/>
        <w:ind w:firstLine="482" w:firstLineChars="200"/>
        <w:rPr>
          <w:rFonts w:hAnsi="宋体"/>
          <w:color w:val="000000"/>
          <w:szCs w:val="24"/>
        </w:rPr>
      </w:pPr>
      <w:r>
        <w:rPr>
          <w:rFonts w:hint="eastAsia" w:hAnsi="宋体"/>
          <w:b/>
          <w:bCs/>
          <w:color w:val="000000"/>
          <w:szCs w:val="24"/>
        </w:rPr>
        <w:t xml:space="preserve">第九条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hAnsi="宋体"/>
          <w:b/>
          <w:bCs/>
          <w:color w:val="000000"/>
          <w:szCs w:val="24"/>
        </w:rPr>
        <w:t>不可抗力</w:t>
      </w:r>
      <w:r>
        <w:rPr>
          <w:rFonts w:hint="eastAsia" w:hAnsi="宋体"/>
          <w:b/>
          <w:bCs/>
          <w:color w:val="000000"/>
          <w:szCs w:val="24"/>
        </w:rPr>
        <w:fldChar w:fldCharType="end"/>
      </w:r>
    </w:p>
    <w:p w14:paraId="10B4E4FE">
      <w:pPr>
        <w:snapToGrid w:val="0"/>
        <w:spacing w:line="360" w:lineRule="auto"/>
        <w:ind w:firstLine="480" w:firstLineChars="200"/>
        <w:rPr>
          <w:rFonts w:hAnsi="宋体"/>
          <w:color w:val="000000"/>
          <w:szCs w:val="24"/>
        </w:rPr>
      </w:pPr>
      <w:r>
        <w:rPr>
          <w:rFonts w:hint="eastAsia" w:hAnsi="宋体"/>
          <w:color w:val="000000"/>
          <w:szCs w:val="24"/>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hAnsi="宋体"/>
          <w:color w:val="000000"/>
          <w:szCs w:val="24"/>
        </w:rPr>
        <w:t>不可抗力</w:t>
      </w:r>
      <w:r>
        <w:rPr>
          <w:rFonts w:hint="eastAsia" w:hAnsi="宋体"/>
          <w:color w:val="000000"/>
          <w:szCs w:val="24"/>
        </w:rPr>
        <w:fldChar w:fldCharType="end"/>
      </w:r>
      <w:r>
        <w:rPr>
          <w:rFonts w:hint="eastAsia" w:hAnsi="宋体"/>
          <w:color w:val="000000"/>
          <w:szCs w:val="24"/>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hAnsi="宋体"/>
          <w:color w:val="000000"/>
          <w:szCs w:val="24"/>
        </w:rPr>
        <w:t>方通</w:t>
      </w:r>
      <w:r>
        <w:rPr>
          <w:rFonts w:hint="eastAsia" w:hAnsi="宋体"/>
          <w:color w:val="000000"/>
          <w:szCs w:val="24"/>
        </w:rPr>
        <w:fldChar w:fldCharType="end"/>
      </w:r>
      <w:r>
        <w:rPr>
          <w:rFonts w:hint="eastAsia" w:hAnsi="宋体"/>
          <w:color w:val="000000"/>
          <w:szCs w:val="24"/>
        </w:rPr>
        <w:t>报不能履行或不能完全履行的理由，以减轻可能给对方造成的损失，在取得有关机构证明后，允许延期履行、部分履行或不履行合同，并根据情况可部分或全部免予承担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hAnsi="宋体"/>
          <w:color w:val="000000"/>
          <w:szCs w:val="24"/>
        </w:rPr>
        <w:t>违约责任</w:t>
      </w:r>
      <w:r>
        <w:rPr>
          <w:rFonts w:hint="eastAsia" w:hAnsi="宋体"/>
          <w:color w:val="000000"/>
          <w:szCs w:val="24"/>
        </w:rPr>
        <w:fldChar w:fldCharType="end"/>
      </w:r>
      <w:r>
        <w:rPr>
          <w:rFonts w:hint="eastAsia" w:hAnsi="宋体"/>
          <w:color w:val="000000"/>
          <w:szCs w:val="24"/>
        </w:rPr>
        <w:t>。</w:t>
      </w:r>
    </w:p>
    <w:p w14:paraId="06C19907">
      <w:pPr>
        <w:snapToGrid w:val="0"/>
        <w:spacing w:line="360" w:lineRule="auto"/>
        <w:ind w:firstLine="482" w:firstLineChars="200"/>
        <w:rPr>
          <w:rFonts w:hAnsi="宋体"/>
          <w:color w:val="000000"/>
          <w:szCs w:val="24"/>
        </w:rPr>
      </w:pPr>
      <w:r>
        <w:rPr>
          <w:rFonts w:hint="eastAsia" w:hAnsi="宋体"/>
          <w:b/>
          <w:bCs/>
          <w:color w:val="000000"/>
          <w:szCs w:val="24"/>
        </w:rPr>
        <w:t>第十条  争议解决</w:t>
      </w:r>
    </w:p>
    <w:p w14:paraId="4C185039">
      <w:pPr>
        <w:snapToGrid w:val="0"/>
        <w:spacing w:line="360" w:lineRule="auto"/>
        <w:ind w:firstLine="480" w:firstLineChars="200"/>
        <w:rPr>
          <w:rFonts w:hAnsi="宋体"/>
          <w:color w:val="000000"/>
          <w:szCs w:val="24"/>
        </w:rPr>
      </w:pPr>
      <w:r>
        <w:rPr>
          <w:rFonts w:hint="eastAsia" w:hAnsi="宋体"/>
          <w:color w:val="000000"/>
          <w:szCs w:val="24"/>
        </w:rPr>
        <w:t>双方本着友好合作的态度,对合同履行过程中发生的纠纷应及时协商解决，协商不成的，向甲方所在地有管辖权的人民法院诉讼解决。</w:t>
      </w:r>
    </w:p>
    <w:p w14:paraId="5BCA7AC4">
      <w:pPr>
        <w:snapToGrid w:val="0"/>
        <w:spacing w:line="360" w:lineRule="auto"/>
        <w:ind w:firstLine="482" w:firstLineChars="200"/>
        <w:rPr>
          <w:rFonts w:hAnsi="宋体"/>
          <w:b/>
          <w:bCs/>
          <w:color w:val="000000"/>
          <w:szCs w:val="24"/>
        </w:rPr>
      </w:pPr>
      <w:r>
        <w:rPr>
          <w:rFonts w:hint="eastAsia" w:hAnsi="宋体"/>
          <w:b/>
          <w:bCs/>
          <w:color w:val="000000"/>
          <w:szCs w:val="24"/>
        </w:rPr>
        <w:t>第十一条  附则</w:t>
      </w:r>
    </w:p>
    <w:p w14:paraId="01D485CD">
      <w:pPr>
        <w:snapToGrid w:val="0"/>
        <w:spacing w:line="360" w:lineRule="auto"/>
        <w:ind w:firstLine="480" w:firstLineChars="200"/>
        <w:rPr>
          <w:rFonts w:hAnsi="宋体"/>
          <w:color w:val="000000"/>
          <w:szCs w:val="24"/>
        </w:rPr>
      </w:pPr>
      <w:r>
        <w:rPr>
          <w:rFonts w:hint="eastAsia" w:hAnsi="宋体"/>
          <w:color w:val="000000"/>
          <w:szCs w:val="24"/>
        </w:rPr>
        <w:t>本合同一式五份。甲乙双方各执两份，渭南市华州区政府采购中心备案一份。本合同经双方签字盖章后生效。</w:t>
      </w:r>
    </w:p>
    <w:p w14:paraId="511DBFB8">
      <w:pPr>
        <w:snapToGrid w:val="0"/>
        <w:spacing w:line="360" w:lineRule="auto"/>
        <w:ind w:firstLine="480" w:firstLineChars="200"/>
        <w:rPr>
          <w:rFonts w:hAnsi="宋体"/>
          <w:color w:val="000000"/>
          <w:szCs w:val="24"/>
        </w:rPr>
      </w:pPr>
    </w:p>
    <w:p w14:paraId="7D50E32A">
      <w:pPr>
        <w:snapToGrid w:val="0"/>
        <w:spacing w:line="360" w:lineRule="auto"/>
        <w:rPr>
          <w:rFonts w:hAnsi="宋体"/>
          <w:color w:val="000000"/>
          <w:szCs w:val="24"/>
        </w:rPr>
      </w:pPr>
      <w:r>
        <w:rPr>
          <w:rFonts w:hint="eastAsia" w:hAnsi="宋体"/>
          <w:color w:val="000000"/>
          <w:szCs w:val="24"/>
        </w:rPr>
        <w:t xml:space="preserve">甲方（采购人）：  (公章)                乙方（供应商）：  (公章)                            </w:t>
      </w:r>
    </w:p>
    <w:p w14:paraId="2327B3A0">
      <w:pPr>
        <w:snapToGrid w:val="0"/>
        <w:spacing w:line="360" w:lineRule="auto"/>
        <w:ind w:firstLine="480" w:firstLineChars="200"/>
        <w:rPr>
          <w:rFonts w:hAnsi="宋体"/>
          <w:color w:val="000000"/>
          <w:szCs w:val="24"/>
        </w:rPr>
      </w:pPr>
    </w:p>
    <w:p w14:paraId="4522D438">
      <w:pPr>
        <w:snapToGrid w:val="0"/>
        <w:spacing w:line="360" w:lineRule="auto"/>
        <w:rPr>
          <w:rFonts w:hAnsi="宋体"/>
          <w:color w:val="000000"/>
          <w:szCs w:val="24"/>
        </w:rPr>
      </w:pPr>
      <w:r>
        <w:rPr>
          <w:rFonts w:hint="eastAsia" w:hAnsi="宋体"/>
          <w:color w:val="000000"/>
          <w:szCs w:val="24"/>
        </w:rPr>
        <w:t>法定代表人或其委托代理人：              法定代表人或其委托代理人：</w:t>
      </w:r>
    </w:p>
    <w:p w14:paraId="6434530A">
      <w:pPr>
        <w:snapToGrid w:val="0"/>
        <w:spacing w:line="360" w:lineRule="auto"/>
        <w:rPr>
          <w:rFonts w:hAnsi="宋体"/>
          <w:color w:val="000000"/>
          <w:szCs w:val="24"/>
        </w:rPr>
      </w:pPr>
      <w:r>
        <w:rPr>
          <w:rFonts w:hint="eastAsia" w:hAnsi="宋体"/>
          <w:color w:val="000000"/>
          <w:szCs w:val="24"/>
        </w:rPr>
        <w:t>（签字）                                 （签字）</w:t>
      </w:r>
    </w:p>
    <w:p w14:paraId="466299A6">
      <w:pPr>
        <w:snapToGrid w:val="0"/>
        <w:spacing w:line="360" w:lineRule="auto"/>
        <w:rPr>
          <w:rFonts w:hAnsi="宋体"/>
          <w:color w:val="000000"/>
          <w:szCs w:val="24"/>
        </w:rPr>
      </w:pPr>
      <w:r>
        <w:rPr>
          <w:rFonts w:hint="eastAsia" w:hAnsi="宋体"/>
          <w:color w:val="000000"/>
          <w:szCs w:val="24"/>
        </w:rPr>
        <w:t>地址：                                   地址：</w:t>
      </w:r>
    </w:p>
    <w:p w14:paraId="4FAD482D">
      <w:pPr>
        <w:snapToGrid w:val="0"/>
        <w:spacing w:line="360" w:lineRule="auto"/>
        <w:rPr>
          <w:rFonts w:hAnsi="宋体"/>
          <w:color w:val="000000"/>
          <w:szCs w:val="24"/>
        </w:rPr>
      </w:pPr>
      <w:r>
        <w:rPr>
          <w:rFonts w:hint="eastAsia" w:hAnsi="宋体"/>
          <w:color w:val="000000"/>
          <w:szCs w:val="24"/>
        </w:rPr>
        <w:t>电话：                                   电话：</w:t>
      </w:r>
    </w:p>
    <w:p w14:paraId="45B6BC24">
      <w:pPr>
        <w:snapToGrid w:val="0"/>
        <w:spacing w:line="360" w:lineRule="auto"/>
        <w:rPr>
          <w:rFonts w:hAnsi="宋体"/>
          <w:color w:val="000000"/>
          <w:szCs w:val="24"/>
        </w:rPr>
      </w:pPr>
      <w:r>
        <w:rPr>
          <w:rFonts w:hint="eastAsia" w:hAnsi="宋体"/>
          <w:color w:val="000000"/>
          <w:szCs w:val="24"/>
        </w:rPr>
        <w:t>邮编：                                   邮编：</w:t>
      </w:r>
    </w:p>
    <w:p w14:paraId="0E5C8A19">
      <w:pPr>
        <w:snapToGrid w:val="0"/>
        <w:spacing w:line="360" w:lineRule="auto"/>
        <w:rPr>
          <w:rFonts w:hAnsi="宋体"/>
          <w:color w:val="000000"/>
          <w:szCs w:val="24"/>
        </w:rPr>
      </w:pPr>
      <w:r>
        <w:rPr>
          <w:rFonts w:hint="eastAsia" w:hAnsi="宋体"/>
          <w:color w:val="000000"/>
          <w:szCs w:val="24"/>
        </w:rPr>
        <w:t>传真：                                   传真：</w:t>
      </w:r>
    </w:p>
    <w:p w14:paraId="6E5B9196">
      <w:pPr>
        <w:snapToGrid w:val="0"/>
        <w:spacing w:line="360" w:lineRule="auto"/>
        <w:rPr>
          <w:rFonts w:hAnsi="宋体"/>
          <w:color w:val="000000"/>
          <w:szCs w:val="24"/>
        </w:rPr>
      </w:pPr>
      <w:r>
        <w:rPr>
          <w:rFonts w:hint="eastAsia" w:hAnsi="宋体"/>
          <w:color w:val="000000"/>
          <w:szCs w:val="24"/>
        </w:rPr>
        <w:t>日 期：    年     月   日             日 期：         年    月    日</w:t>
      </w:r>
    </w:p>
    <w:bookmarkEnd w:id="0"/>
    <w:p w14:paraId="190DED8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0F6B45"/>
    <w:multiLevelType w:val="singleLevel"/>
    <w:tmpl w:val="010F6B45"/>
    <w:lvl w:ilvl="0" w:tentative="0">
      <w:start w:val="2"/>
      <w:numFmt w:val="chineseCounting"/>
      <w:suff w:val="space"/>
      <w:lvlText w:val="第%1条"/>
      <w:lvlJc w:val="left"/>
      <w:rPr>
        <w:rFonts w:hint="eastAsia"/>
      </w:rPr>
    </w:lvl>
  </w:abstractNum>
  <w:abstractNum w:abstractNumId="1">
    <w:nsid w:val="26CE5DCF"/>
    <w:multiLevelType w:val="multilevel"/>
    <w:tmpl w:val="26CE5DCF"/>
    <w:lvl w:ilvl="0" w:tentative="0">
      <w:start w:val="1"/>
      <w:numFmt w:val="chineseCountingThousand"/>
      <w:pStyle w:val="2"/>
      <w:suff w:val="nothing"/>
      <w:lvlText w:val="%1、 "/>
      <w:lvlJc w:val="left"/>
      <w:pPr>
        <w:ind w:left="425" w:hanging="425"/>
      </w:pPr>
      <w:rPr>
        <w:rFonts w:hint="eastAsia"/>
      </w:rPr>
    </w:lvl>
    <w:lvl w:ilvl="1" w:tentative="0">
      <w:start w:val="1"/>
      <w:numFmt w:val="decimal"/>
      <w:pStyle w:val="3"/>
      <w:isLgl/>
      <w:suff w:val="nothing"/>
      <w:lvlText w:val="%1.%2 "/>
      <w:lvlJc w:val="left"/>
      <w:pPr>
        <w:ind w:left="425" w:hanging="425"/>
      </w:pPr>
      <w:rPr>
        <w:rFonts w:hint="eastAsia"/>
      </w:rPr>
    </w:lvl>
    <w:lvl w:ilvl="2" w:tentative="0">
      <w:start w:val="1"/>
      <w:numFmt w:val="decimal"/>
      <w:pStyle w:val="4"/>
      <w:isLgl/>
      <w:suff w:val="nothing"/>
      <w:lvlText w:val="%1.%2.%3 "/>
      <w:lvlJc w:val="left"/>
      <w:pPr>
        <w:ind w:left="425" w:hanging="425"/>
      </w:pPr>
      <w:rPr>
        <w:rFonts w:hint="eastAsia"/>
      </w:rPr>
    </w:lvl>
    <w:lvl w:ilvl="3" w:tentative="0">
      <w:start w:val="1"/>
      <w:numFmt w:val="decimal"/>
      <w:pStyle w:val="5"/>
      <w:isLgl/>
      <w:suff w:val="nothing"/>
      <w:lvlText w:val="%1.%2.%3.%4 "/>
      <w:lvlJc w:val="left"/>
      <w:pPr>
        <w:ind w:left="425" w:hanging="425"/>
      </w:pPr>
    </w:lvl>
    <w:lvl w:ilvl="4" w:tentative="0">
      <w:start w:val="1"/>
      <w:numFmt w:val="chineseCountingThousand"/>
      <w:pStyle w:val="6"/>
      <w:isLgl/>
      <w:suff w:val="nothing"/>
      <w:lvlText w:val="%1.%2.%3.%4.%5 "/>
      <w:lvlJc w:val="left"/>
      <w:pPr>
        <w:ind w:left="425" w:hanging="425"/>
      </w:pPr>
      <w:rPr>
        <w:rFonts w:hint="eastAsia"/>
      </w:rPr>
    </w:lvl>
    <w:lvl w:ilvl="5" w:tentative="0">
      <w:start w:val="1"/>
      <w:numFmt w:val="decimal"/>
      <w:pStyle w:val="7"/>
      <w:isLgl/>
      <w:suff w:val="nothing"/>
      <w:lvlText w:val="%1.%2.%3.%4.%5.%6 "/>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ABE"/>
    <w:rsid w:val="001A1832"/>
    <w:rsid w:val="002A7B12"/>
    <w:rsid w:val="003645CA"/>
    <w:rsid w:val="00453D89"/>
    <w:rsid w:val="005E1419"/>
    <w:rsid w:val="00673EF4"/>
    <w:rsid w:val="007B0021"/>
    <w:rsid w:val="00847316"/>
    <w:rsid w:val="00A6035D"/>
    <w:rsid w:val="00AA02E8"/>
    <w:rsid w:val="00AA1ABE"/>
    <w:rsid w:val="00AD2FF4"/>
    <w:rsid w:val="00C72FBC"/>
    <w:rsid w:val="00D649B9"/>
    <w:rsid w:val="00E3791D"/>
    <w:rsid w:val="00EE0EEE"/>
    <w:rsid w:val="00F62DCC"/>
    <w:rsid w:val="186C59CF"/>
    <w:rsid w:val="2878131B"/>
    <w:rsid w:val="5D6F49F2"/>
    <w:rsid w:val="73882C81"/>
    <w:rsid w:val="78696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15" w:lineRule="atLeast"/>
    </w:pPr>
    <w:rPr>
      <w:rFonts w:ascii="宋体" w:hAnsi="Times New Roman" w:eastAsia="宋体" w:cs="Times New Roman"/>
      <w:kern w:val="0"/>
      <w:sz w:val="24"/>
      <w:szCs w:val="20"/>
      <w:lang w:val="en-US" w:eastAsia="zh-CN" w:bidi="ar-SA"/>
      <w14:ligatures w14:val="none"/>
    </w:rPr>
  </w:style>
  <w:style w:type="paragraph" w:styleId="2">
    <w:name w:val="heading 1"/>
    <w:basedOn w:val="1"/>
    <w:next w:val="1"/>
    <w:link w:val="14"/>
    <w:qFormat/>
    <w:uiPriority w:val="9"/>
    <w:pPr>
      <w:keepNext/>
      <w:keepLines/>
      <w:numPr>
        <w:ilvl w:val="0"/>
        <w:numId w:val="1"/>
      </w:numPr>
      <w:outlineLvl w:val="0"/>
    </w:pPr>
    <w:rPr>
      <w:b/>
      <w:bCs/>
      <w:kern w:val="44"/>
      <w:sz w:val="32"/>
      <w:szCs w:val="44"/>
    </w:rPr>
  </w:style>
  <w:style w:type="paragraph" w:styleId="3">
    <w:name w:val="heading 2"/>
    <w:basedOn w:val="1"/>
    <w:next w:val="1"/>
    <w:link w:val="16"/>
    <w:unhideWhenUsed/>
    <w:qFormat/>
    <w:uiPriority w:val="9"/>
    <w:pPr>
      <w:keepNext/>
      <w:keepLines/>
      <w:numPr>
        <w:ilvl w:val="1"/>
        <w:numId w:val="1"/>
      </w:numPr>
      <w:outlineLvl w:val="1"/>
    </w:pPr>
    <w:rPr>
      <w:rFonts w:cstheme="majorBidi"/>
      <w:b/>
      <w:bCs/>
      <w:sz w:val="28"/>
      <w:szCs w:val="32"/>
    </w:rPr>
  </w:style>
  <w:style w:type="paragraph" w:styleId="4">
    <w:name w:val="heading 3"/>
    <w:basedOn w:val="1"/>
    <w:next w:val="1"/>
    <w:link w:val="18"/>
    <w:unhideWhenUsed/>
    <w:qFormat/>
    <w:uiPriority w:val="9"/>
    <w:pPr>
      <w:keepNext/>
      <w:keepLines/>
      <w:numPr>
        <w:ilvl w:val="2"/>
        <w:numId w:val="1"/>
      </w:numPr>
      <w:spacing w:line="240" w:lineRule="auto"/>
      <w:outlineLvl w:val="2"/>
    </w:pPr>
    <w:rPr>
      <w:b/>
      <w:bCs/>
      <w:sz w:val="28"/>
      <w:szCs w:val="32"/>
    </w:rPr>
  </w:style>
  <w:style w:type="paragraph" w:styleId="5">
    <w:name w:val="heading 4"/>
    <w:basedOn w:val="1"/>
    <w:next w:val="1"/>
    <w:link w:val="19"/>
    <w:unhideWhenUsed/>
    <w:qFormat/>
    <w:uiPriority w:val="9"/>
    <w:pPr>
      <w:keepNext/>
      <w:keepLines/>
      <w:numPr>
        <w:ilvl w:val="3"/>
        <w:numId w:val="1"/>
      </w:numPr>
      <w:spacing w:before="280" w:after="290"/>
      <w:ind w:left="0" w:firstLine="0"/>
      <w:contextualSpacing/>
      <w:outlineLvl w:val="3"/>
    </w:pPr>
    <w:rPr>
      <w:rFonts w:cstheme="majorBidi"/>
      <w:b/>
      <w:bCs/>
      <w:sz w:val="28"/>
      <w:szCs w:val="28"/>
    </w:rPr>
  </w:style>
  <w:style w:type="paragraph" w:styleId="6">
    <w:name w:val="heading 5"/>
    <w:basedOn w:val="1"/>
    <w:next w:val="1"/>
    <w:link w:val="20"/>
    <w:unhideWhenUsed/>
    <w:qFormat/>
    <w:uiPriority w:val="9"/>
    <w:pPr>
      <w:keepNext/>
      <w:keepLines/>
      <w:numPr>
        <w:ilvl w:val="4"/>
        <w:numId w:val="1"/>
      </w:numPr>
      <w:spacing w:before="280" w:after="290"/>
      <w:contextualSpacing/>
      <w:outlineLvl w:val="4"/>
    </w:pPr>
    <w:rPr>
      <w:b/>
      <w:bCs/>
      <w:sz w:val="28"/>
      <w:szCs w:val="28"/>
    </w:rPr>
  </w:style>
  <w:style w:type="paragraph" w:styleId="7">
    <w:name w:val="heading 6"/>
    <w:basedOn w:val="1"/>
    <w:next w:val="1"/>
    <w:link w:val="21"/>
    <w:unhideWhenUsed/>
    <w:qFormat/>
    <w:uiPriority w:val="9"/>
    <w:pPr>
      <w:keepNext/>
      <w:keepLines/>
      <w:numPr>
        <w:ilvl w:val="5"/>
        <w:numId w:val="1"/>
      </w:numPr>
      <w:spacing w:before="240" w:after="64"/>
      <w:outlineLvl w:val="5"/>
    </w:pPr>
    <w:rPr>
      <w:rFonts w:cstheme="majorBidi"/>
      <w:b/>
      <w:bCs/>
      <w:sz w:val="28"/>
      <w:szCs w:val="2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Body Text"/>
    <w:basedOn w:val="1"/>
    <w:link w:val="22"/>
    <w:semiHidden/>
    <w:unhideWhenUsed/>
    <w:uiPriority w:val="99"/>
    <w:pPr>
      <w:spacing w:after="120"/>
    </w:pPr>
  </w:style>
  <w:style w:type="paragraph" w:styleId="9">
    <w:name w:val="Body Text Indent"/>
    <w:basedOn w:val="1"/>
    <w:link w:val="24"/>
    <w:semiHidden/>
    <w:unhideWhenUsed/>
    <w:qFormat/>
    <w:uiPriority w:val="99"/>
    <w:pPr>
      <w:spacing w:after="120"/>
      <w:ind w:left="420" w:leftChars="200"/>
    </w:pPr>
  </w:style>
  <w:style w:type="paragraph" w:styleId="10">
    <w:name w:val="Body Text First Indent"/>
    <w:basedOn w:val="8"/>
    <w:next w:val="11"/>
    <w:link w:val="23"/>
    <w:qFormat/>
    <w:uiPriority w:val="0"/>
    <w:pPr>
      <w:spacing w:line="240" w:lineRule="auto"/>
      <w:ind w:firstLine="420" w:firstLineChars="100"/>
    </w:pPr>
    <w:rPr>
      <w:rFonts w:ascii="Times New Roman" w:eastAsia="Times New Roman"/>
      <w:sz w:val="18"/>
      <w:szCs w:val="18"/>
    </w:rPr>
  </w:style>
  <w:style w:type="paragraph" w:styleId="11">
    <w:name w:val="Body Text First Indent 2"/>
    <w:basedOn w:val="9"/>
    <w:next w:val="1"/>
    <w:link w:val="25"/>
    <w:qFormat/>
    <w:uiPriority w:val="0"/>
    <w:pPr>
      <w:spacing w:after="0" w:line="640" w:lineRule="exact"/>
      <w:ind w:left="0" w:leftChars="0" w:firstLine="420"/>
    </w:pPr>
    <w:rPr>
      <w:rFonts w:ascii="楷体_GB2312" w:eastAsia="楷体_GB2312"/>
      <w:sz w:val="32"/>
    </w:rPr>
  </w:style>
  <w:style w:type="character" w:customStyle="1" w:styleId="14">
    <w:name w:val="标题 1 字符"/>
    <w:basedOn w:val="13"/>
    <w:link w:val="2"/>
    <w:qFormat/>
    <w:uiPriority w:val="9"/>
    <w:rPr>
      <w:rFonts w:ascii="宋体" w:hAnsi="宋体" w:eastAsia="宋体"/>
      <w:b/>
      <w:bCs/>
      <w:kern w:val="44"/>
      <w:sz w:val="32"/>
      <w:szCs w:val="44"/>
    </w:rPr>
  </w:style>
  <w:style w:type="paragraph" w:styleId="15">
    <w:name w:val="No Spacing"/>
    <w:qFormat/>
    <w:uiPriority w:val="1"/>
    <w:pPr>
      <w:widowControl w:val="0"/>
      <w:jc w:val="both"/>
    </w:pPr>
    <w:rPr>
      <w:rFonts w:ascii="宋体" w:hAnsi="宋体" w:eastAsia="宋体" w:cstheme="minorBidi"/>
      <w:kern w:val="2"/>
      <w:sz w:val="24"/>
      <w:szCs w:val="22"/>
      <w:lang w:val="en-US" w:eastAsia="zh-CN" w:bidi="ar-SA"/>
      <w14:ligatures w14:val="standardContextual"/>
    </w:rPr>
  </w:style>
  <w:style w:type="character" w:customStyle="1" w:styleId="16">
    <w:name w:val="标题 2 字符"/>
    <w:basedOn w:val="13"/>
    <w:link w:val="3"/>
    <w:qFormat/>
    <w:uiPriority w:val="9"/>
    <w:rPr>
      <w:rFonts w:ascii="宋体" w:hAnsi="宋体" w:eastAsia="宋体" w:cstheme="majorBidi"/>
      <w:b/>
      <w:bCs/>
      <w:sz w:val="28"/>
      <w:szCs w:val="32"/>
    </w:rPr>
  </w:style>
  <w:style w:type="paragraph" w:styleId="17">
    <w:name w:val="List Paragraph"/>
    <w:basedOn w:val="15"/>
    <w:qFormat/>
    <w:uiPriority w:val="34"/>
    <w:pPr>
      <w:spacing w:line="360" w:lineRule="auto"/>
      <w:ind w:firstLine="200" w:firstLineChars="200"/>
    </w:pPr>
  </w:style>
  <w:style w:type="character" w:customStyle="1" w:styleId="18">
    <w:name w:val="标题 3 字符"/>
    <w:basedOn w:val="13"/>
    <w:link w:val="4"/>
    <w:qFormat/>
    <w:uiPriority w:val="9"/>
    <w:rPr>
      <w:rFonts w:ascii="宋体" w:hAnsi="宋体" w:eastAsia="宋体"/>
      <w:b/>
      <w:bCs/>
      <w:sz w:val="28"/>
      <w:szCs w:val="32"/>
    </w:rPr>
  </w:style>
  <w:style w:type="character" w:customStyle="1" w:styleId="19">
    <w:name w:val="标题 4 字符"/>
    <w:basedOn w:val="13"/>
    <w:link w:val="5"/>
    <w:qFormat/>
    <w:uiPriority w:val="9"/>
    <w:rPr>
      <w:rFonts w:ascii="宋体" w:hAnsi="宋体" w:eastAsia="宋体" w:cstheme="majorBidi"/>
      <w:b/>
      <w:bCs/>
      <w:sz w:val="28"/>
      <w:szCs w:val="28"/>
    </w:rPr>
  </w:style>
  <w:style w:type="character" w:customStyle="1" w:styleId="20">
    <w:name w:val="标题 5 字符"/>
    <w:basedOn w:val="13"/>
    <w:link w:val="6"/>
    <w:qFormat/>
    <w:uiPriority w:val="9"/>
    <w:rPr>
      <w:rFonts w:ascii="宋体" w:hAnsi="宋体" w:eastAsia="宋体"/>
      <w:b/>
      <w:bCs/>
      <w:sz w:val="28"/>
      <w:szCs w:val="28"/>
    </w:rPr>
  </w:style>
  <w:style w:type="character" w:customStyle="1" w:styleId="21">
    <w:name w:val="标题 6 字符"/>
    <w:basedOn w:val="13"/>
    <w:link w:val="7"/>
    <w:qFormat/>
    <w:uiPriority w:val="9"/>
    <w:rPr>
      <w:rFonts w:ascii="宋体" w:hAnsi="宋体" w:eastAsia="宋体" w:cstheme="majorBidi"/>
      <w:b/>
      <w:bCs/>
      <w:sz w:val="28"/>
      <w:szCs w:val="24"/>
    </w:rPr>
  </w:style>
  <w:style w:type="character" w:customStyle="1" w:styleId="22">
    <w:name w:val="正文文本 字符"/>
    <w:basedOn w:val="13"/>
    <w:link w:val="8"/>
    <w:semiHidden/>
    <w:qFormat/>
    <w:uiPriority w:val="99"/>
    <w:rPr>
      <w:rFonts w:ascii="宋体" w:hAnsi="Times New Roman" w:eastAsia="宋体" w:cs="Times New Roman"/>
      <w:kern w:val="0"/>
      <w:sz w:val="24"/>
      <w:szCs w:val="20"/>
      <w14:ligatures w14:val="none"/>
    </w:rPr>
  </w:style>
  <w:style w:type="character" w:customStyle="1" w:styleId="23">
    <w:name w:val="正文文本首行缩进 字符"/>
    <w:basedOn w:val="22"/>
    <w:link w:val="10"/>
    <w:qFormat/>
    <w:uiPriority w:val="0"/>
    <w:rPr>
      <w:rFonts w:ascii="Times New Roman" w:hAnsi="Times New Roman" w:eastAsia="Times New Roman" w:cs="Times New Roman"/>
      <w:kern w:val="0"/>
      <w:sz w:val="18"/>
      <w:szCs w:val="18"/>
      <w14:ligatures w14:val="none"/>
    </w:rPr>
  </w:style>
  <w:style w:type="character" w:customStyle="1" w:styleId="24">
    <w:name w:val="正文文本缩进 字符"/>
    <w:basedOn w:val="13"/>
    <w:link w:val="9"/>
    <w:semiHidden/>
    <w:qFormat/>
    <w:uiPriority w:val="99"/>
    <w:rPr>
      <w:rFonts w:ascii="宋体" w:hAnsi="Times New Roman" w:eastAsia="宋体" w:cs="Times New Roman"/>
      <w:kern w:val="0"/>
      <w:sz w:val="24"/>
      <w:szCs w:val="20"/>
      <w14:ligatures w14:val="none"/>
    </w:rPr>
  </w:style>
  <w:style w:type="character" w:customStyle="1" w:styleId="25">
    <w:name w:val="正文文本首行缩进 2 字符"/>
    <w:basedOn w:val="24"/>
    <w:link w:val="11"/>
    <w:qFormat/>
    <w:uiPriority w:val="0"/>
    <w:rPr>
      <w:rFonts w:ascii="楷体_GB2312" w:hAnsi="Times New Roman" w:eastAsia="楷体_GB2312" w:cs="Times New Roman"/>
      <w:kern w:val="0"/>
      <w:sz w:val="32"/>
      <w:szCs w:val="20"/>
      <w14:ligatures w14:val="none"/>
    </w:rPr>
  </w:style>
  <w:style w:type="paragraph" w:customStyle="1" w:styleId="26">
    <w:name w:val="BodyText"/>
    <w:basedOn w:val="1"/>
    <w:next w:val="1"/>
    <w:qFormat/>
    <w:uiPriority w:val="0"/>
    <w:rPr>
      <w:color w:val="993300"/>
    </w:rPr>
  </w:style>
  <w:style w:type="paragraph" w:customStyle="1" w:styleId="2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1704</Words>
  <Characters>1739</Characters>
  <Lines>26</Lines>
  <Paragraphs>7</Paragraphs>
  <TotalTime>1</TotalTime>
  <ScaleCrop>false</ScaleCrop>
  <LinksUpToDate>false</LinksUpToDate>
  <CharactersWithSpaces>2068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2026-03-26T04:01:00Z</dcterms:created>
  <dc:creator>admin</dc:creator>
  <cp:lastModifiedBy>Administrator</cp:lastModifiedBy>
  <dcterms:modified xsi:type="dcterms:W3CDTF">2026-04-17T10:10:48Z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eyJoZGlkIjoiMTE2ZWQ0MzdhY2Q0ZTJlODA5NGI3Y2NmNjMzNWJhZmIiLCJ1c2VySWQiOiIzMjI4NTgyOTAifQ==</vt:lpwstr>
  </property>
  <property fmtid="{D5CDD505-2E9C-101B-9397-08002B2CF9AE}" pid="3" name="KSOProductBuildVer">
    <vt:lpwstr>2052-12.1.0.25225</vt:lpwstr>
  </property>
  <property fmtid="{D5CDD505-2E9C-101B-9397-08002B2CF9AE}" pid="4" name="ICV">
    <vt:lpwstr>DD82C58EB4AB480A9EF64232C4ACDB28_12</vt:lpwstr>
  </property>
</Properties>
</file>