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版本号：JZDCG-2025-04820251110001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渭南市华州区莲花寺镇党家河村和长寿坡村损毁土地整改项目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JZDCG-2025-048</w:t>
      </w:r>
      <w:r>
        <w:br/>
      </w:r>
      <w:r>
        <w:br/>
      </w:r>
      <w:r>
        <w:br/>
      </w:r>
    </w:p>
    <w:p>
      <w:pPr>
        <w:pStyle w:val="null3"/>
        <w:jc w:val="center"/>
        <w:outlineLvl w:val="2"/>
      </w:pPr>
      <w:r>
        <w:rPr>
          <w:rFonts w:ascii="仿宋_GB2312" w:hAnsi="仿宋_GB2312" w:cs="仿宋_GB2312" w:eastAsia="仿宋_GB2312"/>
          <w:sz w:val="28"/>
          <w:b/>
        </w:rPr>
        <w:t>渭南市华州区莲花寺镇人民政府</w:t>
      </w:r>
    </w:p>
    <w:p>
      <w:pPr>
        <w:pStyle w:val="null3"/>
        <w:jc w:val="center"/>
        <w:outlineLvl w:val="2"/>
      </w:pPr>
      <w:r>
        <w:rPr>
          <w:rFonts w:ascii="仿宋_GB2312" w:hAnsi="仿宋_GB2312" w:cs="仿宋_GB2312" w:eastAsia="仿宋_GB2312"/>
          <w:sz w:val="28"/>
          <w:b/>
        </w:rPr>
        <w:t>陕西金准达项目管理有限责任公司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陕西金准达项目管理有限责任公司</w:t>
      </w:r>
      <w:r>
        <w:rPr>
          <w:rFonts w:ascii="仿宋_GB2312" w:hAnsi="仿宋_GB2312" w:cs="仿宋_GB2312" w:eastAsia="仿宋_GB2312"/>
        </w:rPr>
        <w:t>（以下简称“代理机构”）受</w:t>
      </w:r>
      <w:r>
        <w:rPr>
          <w:rFonts w:ascii="仿宋_GB2312" w:hAnsi="仿宋_GB2312" w:cs="仿宋_GB2312" w:eastAsia="仿宋_GB2312"/>
        </w:rPr>
        <w:t>渭南市华州区莲花寺镇人民政府</w:t>
      </w:r>
      <w:r>
        <w:rPr>
          <w:rFonts w:ascii="仿宋_GB2312" w:hAnsi="仿宋_GB2312" w:cs="仿宋_GB2312" w:eastAsia="仿宋_GB2312"/>
        </w:rPr>
        <w:t>委托，拟对</w:t>
      </w:r>
      <w:r>
        <w:rPr>
          <w:rFonts w:ascii="仿宋_GB2312" w:hAnsi="仿宋_GB2312" w:cs="仿宋_GB2312" w:eastAsia="仿宋_GB2312"/>
        </w:rPr>
        <w:t>渭南市华州区莲花寺镇党家河村和长寿坡村损毁土地整改项目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JZDCG-2025-048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渭南市华州区莲花寺镇党家河村和长寿坡村损毁土地整改项目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对施工区域建筑垃圾推移回填，渣土推移回填，客土回填平整，土地翻耕。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采购包1（渭南市华州区莲花寺镇党家河村和长寿坡村损毁土地整改项目）：属于专门面向中小企业采购。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1、主体资格证明：法人或者其他组织的营业执照等证明文件或者自然人身份证明；</w:t>
      </w:r>
    </w:p>
    <w:p>
      <w:pPr>
        <w:pStyle w:val="null3"/>
      </w:pPr>
      <w:r>
        <w:rPr>
          <w:rFonts w:ascii="仿宋_GB2312" w:hAnsi="仿宋_GB2312" w:cs="仿宋_GB2312" w:eastAsia="仿宋_GB2312"/>
        </w:rPr>
        <w:t>2、社会保障资金缴纳证明：自2025年04月01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p>
    <w:p>
      <w:pPr>
        <w:pStyle w:val="null3"/>
      </w:pPr>
      <w:r>
        <w:rPr>
          <w:rFonts w:ascii="仿宋_GB2312" w:hAnsi="仿宋_GB2312" w:cs="仿宋_GB2312" w:eastAsia="仿宋_GB2312"/>
        </w:rPr>
        <w:t>3、税收缴纳证明：自2025年04月01日以来已缴存的至少一个月的纳税证明或完税证明，纳税证明或完税证明上应有代收机构或税务机关的公章或业务专用章。依法免税的投标人应提供相关文件证明；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4、信用查询：未被列入“信用中国”网站（www.creditchina.gov.cn）失信被执行人和重大税收违法案件当事人名单，不得为“中国政府采购网”（www.ccgp.gov.cn）政府采购严重违法失信行为记录名单中禁止参加政府采购活动的投标人；投标人需在项目电子化交易系统中按要求上传相应证明文件并进行电子签章；</w:t>
      </w:r>
    </w:p>
    <w:p>
      <w:pPr>
        <w:pStyle w:val="null3"/>
      </w:pPr>
      <w:r>
        <w:rPr>
          <w:rFonts w:ascii="仿宋_GB2312" w:hAnsi="仿宋_GB2312" w:cs="仿宋_GB2312" w:eastAsia="仿宋_GB2312"/>
        </w:rPr>
        <w:t>5、法定代表人授权委托书：法定代表人参加磋商的，须提供法定代表人身份证明书；法定代表人授权他人参加磋商的，须提供法定代表人委托授权书；</w:t>
      </w:r>
    </w:p>
    <w:p>
      <w:pPr>
        <w:pStyle w:val="null3"/>
      </w:pPr>
      <w:r>
        <w:rPr>
          <w:rFonts w:ascii="仿宋_GB2312" w:hAnsi="仿宋_GB2312" w:cs="仿宋_GB2312" w:eastAsia="仿宋_GB2312"/>
        </w:rPr>
        <w:t>6、无重大违法记录：参加政府采购活动前三年内在经营活动中没有重大违法记录的书面声明；</w:t>
      </w:r>
    </w:p>
    <w:p>
      <w:pPr>
        <w:pStyle w:val="null3"/>
      </w:pPr>
      <w:r>
        <w:rPr>
          <w:rFonts w:ascii="仿宋_GB2312" w:hAnsi="仿宋_GB2312" w:cs="仿宋_GB2312" w:eastAsia="仿宋_GB2312"/>
        </w:rPr>
        <w:t>7、企业资质要求：须具备建筑工程施工总承包三级及以上资质或市政公用工程施工总承包三级及以上资质；安全生产许可证合格有效；</w:t>
      </w:r>
    </w:p>
    <w:p>
      <w:pPr>
        <w:pStyle w:val="null3"/>
      </w:pPr>
      <w:r>
        <w:rPr>
          <w:rFonts w:ascii="仿宋_GB2312" w:hAnsi="仿宋_GB2312" w:cs="仿宋_GB2312" w:eastAsia="仿宋_GB2312"/>
        </w:rPr>
        <w:t>8、拟派项目负责人：须具备建筑工程专业二级及以上注册建造师资格或市政公用工程专业二级及以上注册建造师资格；具备合格有效的安全生产考核合格证书（建安B证），且未担任其他在建工程项目的项目经理；</w:t>
      </w:r>
    </w:p>
    <w:p>
      <w:pPr>
        <w:pStyle w:val="null3"/>
      </w:pPr>
      <w:r>
        <w:rPr>
          <w:rFonts w:ascii="仿宋_GB2312" w:hAnsi="仿宋_GB2312" w:cs="仿宋_GB2312" w:eastAsia="仿宋_GB2312"/>
        </w:rPr>
        <w:t>9、本项目不接受联合体磋商：提供非联合体声明。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渭南市华州区莲花寺镇人民政府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渭南市华州区莲花寺镇人民政府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18392638975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陕西金准达项目管理有限责任公司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陕西省西安市高新区科技五路橡树星座B座902室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王军、刘萌萌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029-89555599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18992320959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采购包1：2,601,300.00元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开户名称：陕西金准达项目管理有限责任公司项目保证金专户</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银行账号：129911244910001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关于印发招标代理服务收费管理暂行办法的通知》（计价格【2002】1980号）和国家发改委办公厅颁发的《关于招标代理服务收费有关问题的通知》（发改办价格【2003】857号）文件为计算依据计取。 2、代理服务费的交纳方式：由成交人在领取成交通知书前向采购代理机构一次性支付； 开户名称：陕西金准达项目管理有限责任公司 开户银行：招商银行西安分行营业部 账 号：129911244910902</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渭南市华州区莲花寺镇人民政府</w:t>
      </w:r>
      <w:r>
        <w:rPr>
          <w:rFonts w:ascii="仿宋_GB2312" w:hAnsi="仿宋_GB2312" w:cs="仿宋_GB2312" w:eastAsia="仿宋_GB2312"/>
        </w:rPr>
        <w:t>和</w:t>
      </w:r>
      <w:r>
        <w:rPr>
          <w:rFonts w:ascii="仿宋_GB2312" w:hAnsi="仿宋_GB2312" w:cs="仿宋_GB2312" w:eastAsia="仿宋_GB2312"/>
        </w:rPr>
        <w:t>陕西金准达项目管理有限责任公司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渭南市华州区莲花寺镇人民政府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陕西金准达项目管理有限责任公司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渭南市华州区莲花寺镇人民政府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陕西金准达项目管理有限责任公司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联系人：王军、刘萌萌</w:t>
      </w:r>
    </w:p>
    <w:p>
      <w:pPr>
        <w:pStyle w:val="null3"/>
      </w:pPr>
      <w:r>
        <w:rPr>
          <w:rFonts w:ascii="仿宋_GB2312" w:hAnsi="仿宋_GB2312" w:cs="仿宋_GB2312" w:eastAsia="仿宋_GB2312"/>
        </w:rPr>
        <w:t>联系电话：029-89555599</w:t>
      </w:r>
    </w:p>
    <w:p>
      <w:pPr>
        <w:pStyle w:val="null3"/>
      </w:pPr>
      <w:r>
        <w:rPr>
          <w:rFonts w:ascii="仿宋_GB2312" w:hAnsi="仿宋_GB2312" w:cs="仿宋_GB2312" w:eastAsia="仿宋_GB2312"/>
        </w:rPr>
        <w:t>地址：陕西省西安市高新区科技五路3号橡树星座B座902室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2,601,300.00</w:t>
      </w:r>
    </w:p>
    <w:p>
      <w:pPr>
        <w:pStyle w:val="null3"/>
      </w:pPr>
      <w:r>
        <w:rPr>
          <w:rFonts w:ascii="仿宋_GB2312" w:hAnsi="仿宋_GB2312" w:cs="仿宋_GB2312" w:eastAsia="仿宋_GB2312"/>
        </w:rPr>
        <w:t>采购包最高限价（元）: 2,601,300.00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损毁土地整改</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2,601,300.00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标的名称：损毁土地整改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一、工程概况</w:t>
            </w:r>
          </w:p>
          <w:p>
            <w:pPr>
              <w:pStyle w:val="null3"/>
            </w:pPr>
            <w:r>
              <w:rPr>
                <w:rFonts w:ascii="仿宋_GB2312" w:hAnsi="仿宋_GB2312" w:cs="仿宋_GB2312" w:eastAsia="仿宋_GB2312"/>
              </w:rPr>
              <w:t>1、建设单位：渭南市华州区莲花寺镇人民政府；</w:t>
            </w:r>
          </w:p>
          <w:p>
            <w:pPr>
              <w:pStyle w:val="null3"/>
            </w:pPr>
            <w:r>
              <w:rPr>
                <w:rFonts w:ascii="仿宋_GB2312" w:hAnsi="仿宋_GB2312" w:cs="仿宋_GB2312" w:eastAsia="仿宋_GB2312"/>
              </w:rPr>
              <w:t>2、建设地点：渭南市华州区莲花寺镇党家河和长寿坡村；</w:t>
            </w:r>
          </w:p>
          <w:p>
            <w:pPr>
              <w:pStyle w:val="null3"/>
            </w:pPr>
            <w:r>
              <w:rPr>
                <w:rFonts w:ascii="仿宋_GB2312" w:hAnsi="仿宋_GB2312" w:cs="仿宋_GB2312" w:eastAsia="仿宋_GB2312"/>
              </w:rPr>
              <w:t>3、工程概况：本工程为渭南市华州区莲花寺镇党家河和长寿坡村损毁土地整改项目，主要内容为对施工区域建筑垃圾推移回填，渣土推移回填，客土回填平整，土地翻耕等；</w:t>
            </w:r>
          </w:p>
          <w:p>
            <w:pPr>
              <w:pStyle w:val="null3"/>
            </w:pPr>
            <w:r>
              <w:rPr>
                <w:rFonts w:ascii="仿宋_GB2312" w:hAnsi="仿宋_GB2312" w:cs="仿宋_GB2312" w:eastAsia="仿宋_GB2312"/>
              </w:rPr>
              <w:t>4、合同履行期限（工期）：自合同签订之日起60日历日内完成；</w:t>
            </w:r>
          </w:p>
          <w:p>
            <w:pPr>
              <w:pStyle w:val="null3"/>
            </w:pPr>
            <w:r>
              <w:rPr>
                <w:rFonts w:ascii="仿宋_GB2312" w:hAnsi="仿宋_GB2312" w:cs="仿宋_GB2312" w:eastAsia="仿宋_GB2312"/>
                <w:b/>
              </w:rPr>
              <w:t>二、质量标准</w:t>
            </w:r>
          </w:p>
          <w:p>
            <w:pPr>
              <w:pStyle w:val="null3"/>
            </w:pPr>
            <w:r>
              <w:rPr>
                <w:rFonts w:ascii="仿宋_GB2312" w:hAnsi="仿宋_GB2312" w:cs="仿宋_GB2312" w:eastAsia="仿宋_GB2312"/>
              </w:rPr>
              <w:t>1、工程质量必须达到：达到国家现行施工验收规范“合格”标准；</w:t>
            </w:r>
          </w:p>
          <w:p>
            <w:pPr>
              <w:pStyle w:val="null3"/>
            </w:pPr>
            <w:r>
              <w:rPr>
                <w:rFonts w:ascii="仿宋_GB2312" w:hAnsi="仿宋_GB2312" w:cs="仿宋_GB2312" w:eastAsia="仿宋_GB2312"/>
              </w:rPr>
              <w:t>2、如工程质量达不到约定条件的部分，一经发现。可要求中标人返工，直至达到合同约定条件，并由中标人承担返工费用。经两次以上返工后仍达不到约定标准，采购人有权终止中标人继续施工资格，并拒付中标人已完工项目工程款；</w:t>
            </w:r>
          </w:p>
          <w:p>
            <w:pPr>
              <w:pStyle w:val="null3"/>
            </w:pPr>
            <w:r>
              <w:rPr>
                <w:rFonts w:ascii="仿宋_GB2312" w:hAnsi="仿宋_GB2312" w:cs="仿宋_GB2312" w:eastAsia="仿宋_GB2312"/>
              </w:rPr>
              <w:t>3、工程保修期：按照《建设工程质量管理条例》执行；</w:t>
            </w:r>
          </w:p>
          <w:p>
            <w:pPr>
              <w:pStyle w:val="null3"/>
            </w:pPr>
            <w:r>
              <w:rPr>
                <w:rFonts w:ascii="仿宋_GB2312" w:hAnsi="仿宋_GB2312" w:cs="仿宋_GB2312" w:eastAsia="仿宋_GB2312"/>
                <w:b/>
              </w:rPr>
              <w:t>三、施工技术规范</w:t>
            </w:r>
          </w:p>
          <w:p>
            <w:pPr>
              <w:pStyle w:val="null3"/>
            </w:pPr>
            <w:r>
              <w:rPr>
                <w:rFonts w:ascii="仿宋_GB2312" w:hAnsi="仿宋_GB2312" w:cs="仿宋_GB2312" w:eastAsia="仿宋_GB2312"/>
              </w:rPr>
              <w:t>1、本项目施工应符合国家有关建设标准强制性条文和国家或有关部门对土地施工等方面现行的标准、规范、规程、定额、办法、示例。</w:t>
            </w:r>
          </w:p>
          <w:p>
            <w:pPr>
              <w:pStyle w:val="null3"/>
            </w:pPr>
            <w:r>
              <w:rPr>
                <w:rFonts w:ascii="仿宋_GB2312" w:hAnsi="仿宋_GB2312" w:cs="仿宋_GB2312" w:eastAsia="仿宋_GB2312"/>
              </w:rPr>
              <w:t>2、中标人在施工过程中使用或参考上述标准、规范以外的技术标准、规范时，应征得采购人或采购人指定代表人的同意。</w:t>
            </w:r>
          </w:p>
          <w:p>
            <w:pPr>
              <w:pStyle w:val="null3"/>
            </w:pPr>
            <w:r>
              <w:rPr>
                <w:rFonts w:ascii="仿宋_GB2312" w:hAnsi="仿宋_GB2312" w:cs="仿宋_GB2312" w:eastAsia="仿宋_GB2312"/>
              </w:rPr>
              <w:t>3、在施工过程中，如果国家或有关部门颁布了新的技术标准或规范，则中标人应采用新的标准或规范进行施工。</w:t>
            </w:r>
          </w:p>
          <w:p>
            <w:pPr>
              <w:pStyle w:val="null3"/>
            </w:pPr>
            <w:r>
              <w:rPr>
                <w:rFonts w:ascii="仿宋_GB2312" w:hAnsi="仿宋_GB2312" w:cs="仿宋_GB2312" w:eastAsia="仿宋_GB2312"/>
                <w:b/>
              </w:rPr>
              <w:t>四、对成交投标人建设工程施工安全生产、环境保护要求</w:t>
            </w:r>
          </w:p>
          <w:p>
            <w:pPr>
              <w:pStyle w:val="null3"/>
            </w:pPr>
            <w:r>
              <w:rPr>
                <w:rFonts w:ascii="仿宋_GB2312" w:hAnsi="仿宋_GB2312" w:cs="仿宋_GB2312" w:eastAsia="仿宋_GB2312"/>
              </w:rPr>
              <w:t>1、中标人应当具备《中华人民共和国安全生产法》和有关法律、法规和国家标准或行业标准规定的安全生产条件。安全操作规程、生产安全制度和具体的安全措施。努力实现“零职业病、零事故、零污染”的安全环保生产业绩目标。</w:t>
            </w:r>
          </w:p>
          <w:p>
            <w:pPr>
              <w:pStyle w:val="null3"/>
            </w:pPr>
            <w:r>
              <w:rPr>
                <w:rFonts w:ascii="仿宋_GB2312" w:hAnsi="仿宋_GB2312" w:cs="仿宋_GB2312" w:eastAsia="仿宋_GB2312"/>
              </w:rPr>
              <w:t>2、遵照预防为主的原则，做到建设工程施工和环境保护并举，推行清洁生产，实现环境污染全过程控制。</w:t>
            </w:r>
          </w:p>
          <w:p>
            <w:pPr>
              <w:pStyle w:val="null3"/>
            </w:pPr>
            <w:r>
              <w:rPr>
                <w:rFonts w:ascii="仿宋_GB2312" w:hAnsi="仿宋_GB2312" w:cs="仿宋_GB2312" w:eastAsia="仿宋_GB2312"/>
              </w:rPr>
              <w:t>3、预防、控制和消除职业危害，保护员工健康，以确保工程项目的安全生产。</w:t>
            </w:r>
          </w:p>
          <w:p>
            <w:pPr>
              <w:pStyle w:val="null3"/>
            </w:pPr>
            <w:r>
              <w:rPr>
                <w:rFonts w:ascii="仿宋_GB2312" w:hAnsi="仿宋_GB2312" w:cs="仿宋_GB2312" w:eastAsia="仿宋_GB2312"/>
                <w:b/>
              </w:rPr>
              <w:t>五、施工材料要求</w:t>
            </w:r>
          </w:p>
          <w:p>
            <w:pPr>
              <w:pStyle w:val="null3"/>
            </w:pPr>
            <w:r>
              <w:rPr>
                <w:rFonts w:ascii="仿宋_GB2312" w:hAnsi="仿宋_GB2312" w:cs="仿宋_GB2312" w:eastAsia="仿宋_GB2312"/>
              </w:rPr>
              <w:t>1、中标人供应的材料应按规定按时、按质、按量供应，必须附有产品合格证或质量检验证书才能用于工程。</w:t>
            </w:r>
          </w:p>
          <w:p>
            <w:pPr>
              <w:pStyle w:val="null3"/>
            </w:pPr>
            <w:r>
              <w:rPr>
                <w:rFonts w:ascii="仿宋_GB2312" w:hAnsi="仿宋_GB2312" w:cs="仿宋_GB2312" w:eastAsia="仿宋_GB2312"/>
              </w:rPr>
              <w:t>2、中标人所进场的各种原材料、设备必须有出厂合格证书，试验、化验报告单，使用说明，检测、检验报告和设备验收标准。采购人可以随机抽检原材料和设备，并有权对其进行化验、检测（化验、检测的费用由成交供应商承担），不合格的材料、设备不允许进场使用。</w:t>
            </w:r>
          </w:p>
          <w:p>
            <w:pPr>
              <w:pStyle w:val="null3"/>
            </w:pPr>
            <w:r>
              <w:rPr>
                <w:rFonts w:ascii="仿宋_GB2312" w:hAnsi="仿宋_GB2312" w:cs="仿宋_GB2312" w:eastAsia="仿宋_GB2312"/>
              </w:rPr>
              <w:t>3、因材料质量不合格所造成的损失（包括仓库保管费）由材料采购方负责。</w:t>
            </w:r>
          </w:p>
          <w:p>
            <w:pPr>
              <w:pStyle w:val="null3"/>
            </w:pPr>
            <w:r>
              <w:rPr>
                <w:rFonts w:ascii="仿宋_GB2312" w:hAnsi="仿宋_GB2312" w:cs="仿宋_GB2312" w:eastAsia="仿宋_GB2312"/>
              </w:rPr>
              <w:t>4、根据工程需要，经采购人代表签证，中标人可使用代用材料。因采购人原因使用时，由采购人承担増加的经济支出，因中标人原因使用时，由中标人承担增加的费用。</w:t>
            </w:r>
          </w:p>
          <w:p>
            <w:pPr>
              <w:pStyle w:val="null3"/>
            </w:pPr>
            <w:r>
              <w:rPr>
                <w:rFonts w:ascii="仿宋_GB2312" w:hAnsi="仿宋_GB2312" w:cs="仿宋_GB2312" w:eastAsia="仿宋_GB2312"/>
              </w:rPr>
              <w:t>5、材料供应不及时造成停工待料时，其停、窝工损失中标人承担。</w:t>
            </w:r>
          </w:p>
          <w:p>
            <w:pPr>
              <w:pStyle w:val="null3"/>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1、本项目施工应符合国家有关建设标准强制性条文和国家或有关部门对土地施工等方面现行的标准、规范、规程、定颧、办法、示例。 2、中标人在施工过程中使用或参考上述标准、规范以外的技术标准、规范时，应征得采购人或采购人指定代表人的同意。 3、在施工过程中，如果国家或有关部门颁布了新的技术标准或规范，则中标人应采用新的标准或规范进行施工。</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报价编制依据：（1）陕西省发展和改革委员会(陕发改项目[2017]1606号文)关于《陕西省水利工程设计概(估)算编制规定》；（2）《全国2012土地开发整理预算定额》；（3）水利部办公厅《关于调整水利工程计价依据增值税计算标准的通知》(办财务函[2019]448号文)；（4）工程常规施工方案、国家相关标准及规范技术文件；（5）项目所在地当期主要材料信息价；（6）柴汽油根据陕西发改委最新价；（7）其他有关影响报价的因素等。 2、工程结算规定：本项目为固定总价合同，合同总价包含磋商文件规定工程范围内所有工作内容所产生的一切费用，若实际施工工程量发生变化或采购方原因引起变更的,则以磋商报价和最终报价浮动比例及相关取费为基础进行调整，调整部分适用的定额及费用文件规定：首先依据磋商响应文件，但不得高于投标期的定额及费用文件规定；如磋商响应文件中没有可依的定额及费用文件的，则可适用于相应工程类别的投标期的定额及费用文件。调整部分中涉及供应商自购设备材料的，其价格在项目实施地区有发布价格的，执行该价格；项目实施地区没有发布价格，则执行采购人项目管理部门审批价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财务审计报告（至少包括资产负债表、利润表、现金流量表及财务报表附注）或开标前三个月内其基本存款账户开户银行出具的资信证明及基本存款账户开户证明资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一般资格审查证明材料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供应商需在项目电子化交易系统中按要求填写《响应函》、完成相关承诺并进行电子签章。</w:t>
            </w:r>
          </w:p>
        </w:tc>
        <w:tc>
          <w:tcPr>
            <w:tcW w:type="dxa" w:w="1661"/>
          </w:tcPr>
          <w:p>
            <w:pPr>
              <w:pStyle w:val="null3"/>
            </w:pPr>
            <w:r>
              <w:rPr>
                <w:rFonts w:ascii="仿宋_GB2312" w:hAnsi="仿宋_GB2312" w:cs="仿宋_GB2312" w:eastAsia="仿宋_GB2312"/>
              </w:rPr>
              <w:t>一般资格审查证明材料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法人或者其他组织的营业执照等证明文件或者自然人身份证明；</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04月01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自2025年04月01日以来已缴存的至少一个月的纳税证明或完税证明，纳税证明或完税证明上应有代收机构或税务机关的公章或业务专用章。依法免税的投标人应提供相关文件证明；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列入“信用中国”网站（www.creditchina.gov.cn）失信被执行人和重大税收违法案件当事人名单，不得为“中国政府采购网”（www.ccgp.gov.cn）政府采购严重违法失信行为记录名单中禁止参加政府采购活动的投标人；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法定代表人参加磋商的，须提供法定代表人身份证明书；法定代表人授权他人参加磋商的，须提供法定代表人委托授权书；</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须具备建筑工程施工总承包三级及以上资质或市政公用工程施工总承包三级及以上资质；安全生产许可证合格有效；</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须具备建筑工程专业二级及以上注册建造师资格或市政公用工程专业二级及以上注册建造师资格；具备合格有效的安全生产考核合格证书（建安B证），且未担任其他在建工程项目的项目经理；</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提供非联合体声明。</w:t>
            </w:r>
          </w:p>
        </w:tc>
        <w:tc>
          <w:tcPr>
            <w:tcW w:type="dxa" w:w="1661"/>
          </w:tcPr>
          <w:p>
            <w:pPr>
              <w:pStyle w:val="null3"/>
            </w:pPr>
            <w:r>
              <w:rPr>
                <w:rFonts w:ascii="仿宋_GB2312" w:hAnsi="仿宋_GB2312" w:cs="仿宋_GB2312" w:eastAsia="仿宋_GB2312"/>
              </w:rPr>
              <w:t>特殊资格审查资料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供应商应按格式填写单位名称，文件中的单位名称须和营业执照、公章一致；</w:t>
            </w:r>
          </w:p>
        </w:tc>
        <w:tc>
          <w:tcPr>
            <w:tcW w:type="dxa" w:w="1661"/>
          </w:tcPr>
          <w:p>
            <w:pPr>
              <w:pStyle w:val="null3"/>
            </w:pPr>
            <w:r>
              <w:rPr>
                <w:rFonts w:ascii="仿宋_GB2312" w:hAnsi="仿宋_GB2312" w:cs="仿宋_GB2312" w:eastAsia="仿宋_GB2312"/>
              </w:rPr>
              <w:t>技术响应偏离表 计划开、竣工日期和施工进度网络图 项目管理机构组成 响应文件封面 劳动力计划表 拟投入本工程的主要施工设备 一般资格审查证明材料 已标价的工程量清单 报价函 标的清单 特殊资格审查资料 响应函 类似业绩一览表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文件应逐页盖章，有法定代表人（被授权人）签字或盖章处须按要求签字或盖章；</w:t>
            </w:r>
          </w:p>
        </w:tc>
        <w:tc>
          <w:tcPr>
            <w:tcW w:type="dxa" w:w="1661"/>
          </w:tcPr>
          <w:p>
            <w:pPr>
              <w:pStyle w:val="null3"/>
            </w:pPr>
            <w:r>
              <w:rPr>
                <w:rFonts w:ascii="仿宋_GB2312" w:hAnsi="仿宋_GB2312" w:cs="仿宋_GB2312" w:eastAsia="仿宋_GB2312"/>
              </w:rPr>
              <w:t>技术响应偏离表 中小企业声明函 计划开、竣工日期和施工进度网络图 项目管理机构组成 投标方案说明 响应文件封面 劳动力计划表 拟投入本工程的主要施工设备 残疾人福利性单位声明函 一般资格审查证明材料 已标价的工程量清单 报价函 标的清单 特殊资格审查资料 响应函 类似业绩一览表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首次只能有一个有效报价，且不能超过本项目采购预算（最高限价）</w:t>
            </w:r>
          </w:p>
        </w:tc>
        <w:tc>
          <w:tcPr>
            <w:tcW w:type="dxa" w:w="1661"/>
          </w:tcPr>
          <w:p>
            <w:pPr>
              <w:pStyle w:val="null3"/>
            </w:pPr>
            <w:r>
              <w:rPr>
                <w:rFonts w:ascii="仿宋_GB2312" w:hAnsi="仿宋_GB2312" w:cs="仿宋_GB2312" w:eastAsia="仿宋_GB2312"/>
              </w:rPr>
              <w:t>已标价的工程量清单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应符合磋商文件规定</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技术响应偏离表 中小企业声明函 计划开、竣工日期和施工进度网络图 项目管理机构组成 投标方案说明 响应文件封面 劳动力计划表 拟投入本工程的主要施工设备 一般资格审查证明材料 已标价的工程量清单 报价函 标的清单 特殊资格审查资料 响应函 类似业绩一览表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技术响应偏离表 中小企业声明函 计划开、竣工日期和施工进度网络图 项目管理机构组成 投标方案说明 响应文件封面 劳动力计划表 拟投入本工程的主要施工设备 一般资格审查证明材料 已标价的工程量清单 报价函 标的清单 特殊资格审查资料 响应函 类似业绩一览表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施工组织方案</w:t>
            </w:r>
          </w:p>
        </w:tc>
        <w:tc>
          <w:tcPr>
            <w:tcW w:type="dxa" w:w="2492"/>
          </w:tcPr>
          <w:p>
            <w:pPr>
              <w:pStyle w:val="null3"/>
            </w:pPr>
            <w:r>
              <w:rPr>
                <w:rFonts w:ascii="仿宋_GB2312" w:hAnsi="仿宋_GB2312" w:cs="仿宋_GB2312" w:eastAsia="仿宋_GB2312"/>
              </w:rPr>
              <w:t>1、方案内容完整，针对性强，可实施性强，施工方法得当得8分； 2、施工组织方案每有下列任意一项瑕疵的扣1分，扣完为止；瑕疵是指：①方案生搬硬套，与实际情况明显不符； ②存在与本项目明显无关的文字内容；③内容不适用项目的实际情况；④内容缺失不完善，可实施性较差；⑤凭空编造，内容矛盾，前后逻辑错误；⑥适用（引用）的规范及标准错误或已废止；⑦地点区域错误，或项名称错误； ⑧存在不可能实现的夸大情形； ⑨内容简略或简单复制本项目采购需求； ⑩其他不利于本项目实施的任意情形； 3、未提供施工组织方案本项不得分。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1、技术组织措施内容详细，进度管理目标明确，工期进度保证措施的经济性、合理性、可行性及针对性强得8分； 2、确保工期的技术组织措施每有下列任意一项瑕疵的扣1分，扣完为止；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⑦地点区域错误，或项名称错误； ⑧存在不可能实现的夸大情形； ⑨内容简略或简单复制本项目采购需求； ⑩其他不利于本项目实施的任意情形； 3、未提供确保工期的技术组织措施本项不得分。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确保质量的技术组织措施</w:t>
            </w:r>
          </w:p>
        </w:tc>
        <w:tc>
          <w:tcPr>
            <w:tcW w:type="dxa" w:w="2492"/>
          </w:tcPr>
          <w:p>
            <w:pPr>
              <w:pStyle w:val="null3"/>
            </w:pPr>
            <w:r>
              <w:rPr>
                <w:rFonts w:ascii="仿宋_GB2312" w:hAnsi="仿宋_GB2312" w:cs="仿宋_GB2312" w:eastAsia="仿宋_GB2312"/>
              </w:rPr>
              <w:t>1、技术组织措施内容详细，质量管理目标明确，质量保证承诺全面，质量保证措施经济性、合理性、可行性及针对性强得8分； 2、确保质量的技术组织措施每有下列任意一项瑕疵的扣1分，扣完为止；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⑦地点区域错误，或项名称错误； ⑧存在不可能实现的夸大情形； ⑨内容简略或简单复制本项目采购需求； ⑩其他不利于本项目实施的任意情形； 3、未提供确保质量的技术组织措施本项不得分。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1、技术措施详细，安全管理目标明确，安全保证措施的经济性、合理性、可行性及针对性强得8分； 2、确保安全生产的技术组织措施每有下列任意一项瑕疵的扣1分，扣完为止；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⑦地点区域错误，或项名称错误； ⑧存在不可能实现的夸大情形； ⑨内容简略或简单复制本项目采购需求； ⑩其他不利于本项目实施的任意情形； 3、未提供确保安全生产的技术组织措施本项不得分。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1、措施详细，目标明确，经济型、合理性、可行性及针对性强得8分； 2、确保文明施工的技术组织措施及环境保护措施每有下列任意一项瑕疵的扣1分，扣完为止；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⑦地点区域错误，或项名称错误； ⑧存在不可能实现的夸大情形； ⑨内容简略或简单复制本项目采购需求； ⑩其他不利于本项目实施的任意情形； 3、未提供确保文明施工的技术组织措施及环境保护措施本项不得分。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项目经理部组成及劳动力配备计划</w:t>
            </w:r>
          </w:p>
        </w:tc>
        <w:tc>
          <w:tcPr>
            <w:tcW w:type="dxa" w:w="2492"/>
          </w:tcPr>
          <w:p>
            <w:pPr>
              <w:pStyle w:val="null3"/>
            </w:pPr>
            <w:r>
              <w:rPr>
                <w:rFonts w:ascii="仿宋_GB2312" w:hAnsi="仿宋_GB2312" w:cs="仿宋_GB2312" w:eastAsia="仿宋_GB2312"/>
              </w:rPr>
              <w:t>1、项目经理部人员及劳动力配备计划合理，分工明确，职责清晰，可实施性强得8分； 2、项目经理部组成及劳动力配备计划每有下列任意一项瑕疵的扣1分，扣完为止；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⑦地点区域错误，或项名称错误； ⑧存在不可能实现的夸大情形； ⑨内容简略或简单复制本项目采购需求； ⑩其他不利于本项目实施的任意情形； 3、未提供项目经理部组成及劳动力配备计划本项不得分。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设备投入计划</w:t>
            </w:r>
          </w:p>
        </w:tc>
        <w:tc>
          <w:tcPr>
            <w:tcW w:type="dxa" w:w="2492"/>
          </w:tcPr>
          <w:p>
            <w:pPr>
              <w:pStyle w:val="null3"/>
            </w:pPr>
            <w:r>
              <w:rPr>
                <w:rFonts w:ascii="仿宋_GB2312" w:hAnsi="仿宋_GB2312" w:cs="仿宋_GB2312" w:eastAsia="仿宋_GB2312"/>
              </w:rPr>
              <w:t>1、施工设备配备齐全，针对性强，投入计划合理得6分； 2、设备投入计划每有下列任意一项瑕疵的扣1分，扣完为止；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⑦地点区域错误，或项名称错误； ⑧存在不可能实现的夸大情形； ⑨内容简略或简单复制本项目采购需求； ⑩其他不利于本项目实施的任意情形； 3、未提供设备投入计划本项不得分。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施工进度表及施工现场平面布置图</w:t>
            </w:r>
          </w:p>
        </w:tc>
        <w:tc>
          <w:tcPr>
            <w:tcW w:type="dxa" w:w="2492"/>
          </w:tcPr>
          <w:p>
            <w:pPr>
              <w:pStyle w:val="null3"/>
            </w:pPr>
            <w:r>
              <w:rPr>
                <w:rFonts w:ascii="仿宋_GB2312" w:hAnsi="仿宋_GB2312" w:cs="仿宋_GB2312" w:eastAsia="仿宋_GB2312"/>
              </w:rPr>
              <w:t>1、施工进度表编制完整，整体及各阶段施工进度计划明确、科学合理。施工总平面布置图、平面布置合理，内容齐全，切实可行的得6分； 2、施工进度表及施工现场平面布置图每有下列任意一项瑕疵的扣1分，扣完为止；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⑦地点区域错误，或项名称错误； ⑧存在不可能实现的夸大情形； ⑨内容简略或简单复制本项目采购需求； ⑩其他不利于本项目实施的任意情形； 3、未提供施工进度表及施工现场平面布置图本项不得分。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1、应急事件考虑周全、预案制定合理，处置措施得当，针对性强得6分； 2、应急预案每有下列任意一项瑕疵的扣1分，扣完为止；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⑦地点区域错误，或项名称错误； ⑧存在不可能实现的夸大情形； ⑨内容简略或简单复制本项目采购需求； ⑩其他不利于本项目实施的任意情形； 3、未提供应急预案本项不得分。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1、针对项目特点提供切实可行的后续服务承诺。承诺详细全面、指标明确，切实可行得6分； 2、服务承诺每有下列任意一项瑕疵的扣1分，扣完为止；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⑦地点区域错误，或项名称错误； ⑧存在不可能实现的夸大情形； ⑨内容简略或简单复制本项目采购需求； ⑩其他不利于本项目实施的任意情形； 3、未提供服务承诺本项不得分。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投标人需提供2022年1月1日以来独立承担过类似项目业绩，每个业绩计2分，最高计8分。 注：业绩证明文件以合同为准，时间以合同签订时间为准，未提供或不清晰导致无法识别的不予认可。</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满足磋商文件要求且最终报价最低的供应商的价格为磋商基准价得20分，其他各供应商的最终报价得分按下列公式计算：（磋商基准价/最终磋商报价）×20％×100。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已标价的工程量清单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详见附件：一般资格审查证明材料</w:t>
      </w:r>
    </w:p>
    <w:p>
      <w:pPr>
        <w:pStyle w:val="null3"/>
        <w:ind w:firstLine="960"/>
      </w:pPr>
      <w:r>
        <w:rPr>
          <w:rFonts w:ascii="仿宋_GB2312" w:hAnsi="仿宋_GB2312" w:cs="仿宋_GB2312" w:eastAsia="仿宋_GB2312"/>
        </w:rPr>
        <w:t>详见附件：特殊资格审查资料</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详见附件：已标价的工程量清单</w:t>
      </w:r>
    </w:p>
    <w:p>
      <w:pPr>
        <w:pStyle w:val="null3"/>
        <w:ind w:firstLine="960"/>
      </w:pPr>
      <w:r>
        <w:rPr>
          <w:rFonts w:ascii="仿宋_GB2312" w:hAnsi="仿宋_GB2312" w:cs="仿宋_GB2312" w:eastAsia="仿宋_GB2312"/>
        </w:rPr>
        <w:t>详见附件：项目管理机构组成</w:t>
      </w:r>
    </w:p>
    <w:p>
      <w:pPr>
        <w:pStyle w:val="null3"/>
        <w:ind w:firstLine="960"/>
      </w:pPr>
      <w:r>
        <w:rPr>
          <w:rFonts w:ascii="仿宋_GB2312" w:hAnsi="仿宋_GB2312" w:cs="仿宋_GB2312" w:eastAsia="仿宋_GB2312"/>
        </w:rPr>
        <w:t>详见附件：拟投入本工程的主要施工设备</w:t>
      </w:r>
    </w:p>
    <w:p>
      <w:pPr>
        <w:pStyle w:val="null3"/>
        <w:ind w:firstLine="960"/>
      </w:pPr>
      <w:r>
        <w:rPr>
          <w:rFonts w:ascii="仿宋_GB2312" w:hAnsi="仿宋_GB2312" w:cs="仿宋_GB2312" w:eastAsia="仿宋_GB2312"/>
        </w:rPr>
        <w:t>详见附件：劳动力计划表</w:t>
      </w:r>
    </w:p>
    <w:p>
      <w:pPr>
        <w:pStyle w:val="null3"/>
        <w:ind w:firstLine="960"/>
      </w:pPr>
      <w:r>
        <w:rPr>
          <w:rFonts w:ascii="仿宋_GB2312" w:hAnsi="仿宋_GB2312" w:cs="仿宋_GB2312" w:eastAsia="仿宋_GB2312"/>
        </w:rPr>
        <w:t>详见附件：计划开、竣工日期和施工进度网络图</w:t>
      </w:r>
    </w:p>
    <w:p>
      <w:pPr>
        <w:pStyle w:val="null3"/>
        <w:ind w:firstLine="960"/>
      </w:pPr>
      <w:r>
        <w:rPr>
          <w:rFonts w:ascii="仿宋_GB2312" w:hAnsi="仿宋_GB2312" w:cs="仿宋_GB2312" w:eastAsia="仿宋_GB2312"/>
        </w:rPr>
        <w:t>详见附件：类似业绩一览表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