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版本号：ZCSP-华县-2025-0013820250730001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信息化存储扩容设备采购项目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ZCSP-华县-2025-00138</w:t>
      </w:r>
      <w:r>
        <w:br/>
      </w:r>
      <w:r>
        <w:br/>
      </w:r>
      <w:r>
        <w:br/>
      </w:r>
    </w:p>
    <w:p>
      <w:pPr>
        <w:pStyle w:val="null3"/>
        <w:jc w:val="center"/>
        <w:outlineLvl w:val="2"/>
      </w:pPr>
      <w:r>
        <w:rPr>
          <w:rFonts w:ascii="仿宋_GB2312" w:hAnsi="仿宋_GB2312" w:cs="仿宋_GB2312" w:eastAsia="仿宋_GB2312"/>
          <w:sz w:val="28"/>
          <w:b/>
        </w:rPr>
        <w:t>渭南市华州区华州街道办城关初级中学</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渭南市华州区华州街道办城关初级中学</w:t>
      </w:r>
      <w:r>
        <w:rPr>
          <w:rFonts w:ascii="仿宋_GB2312" w:hAnsi="仿宋_GB2312" w:cs="仿宋_GB2312" w:eastAsia="仿宋_GB2312"/>
        </w:rPr>
        <w:t>委托，拟对</w:t>
      </w:r>
      <w:r>
        <w:rPr>
          <w:rFonts w:ascii="仿宋_GB2312" w:hAnsi="仿宋_GB2312" w:cs="仿宋_GB2312" w:eastAsia="仿宋_GB2312"/>
        </w:rPr>
        <w:t>信息化存储扩容设备采购项目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信息化存储扩容设备采购项目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为保障校园安全，完善视频信息采集、视频画面接入调试及运行的目的，需增加存储扩容设备。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1、投标保证金：投标保证金交纳凭证</w:t>
      </w:r>
    </w:p>
    <w:p>
      <w:pPr>
        <w:pStyle w:val="null3"/>
      </w:pPr>
      <w:r>
        <w:rPr>
          <w:rFonts w:ascii="仿宋_GB2312" w:hAnsi="仿宋_GB2312" w:cs="仿宋_GB2312" w:eastAsia="仿宋_GB2312"/>
        </w:rPr>
        <w:t>2、法定代表人身份证明书/法定代表人授权委托书：法定代表人参与投标时需提供法定代表人身份证明书；被授权人参与投标时需提供法定代表人授权委托书；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渭南市华州区华州街道办城关初级中学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渭南市华州区西环路南段38号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李丹辉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15319149359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采购包1：463,555.00元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渭南市华州区华州街道办城关初级中学</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渭南市华州区华州街道办城关初级中学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渭南市华州区华州街道办城关初级中学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2、所有产品均已运输至指定地点，并安装调试完毕。 3、招标文件、投标人承诺及采购合同约定的附件、工具、技术资料等齐全；提供产品使用说明书、合格证。 4、所有耗材使用必须包装完好、全新的合格产品，生产日期不得超过半年，不得使用积压耗材或维修件。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联系人：周莎莎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地址：新瑞建设有限公司（渭南市临渭区解放路与五马路十字东侧20米路南）</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为保障校园安全，完善视频信息采集、视频画面接入调试及运行的目的，需增加存储扩容设备。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463,555.00</w:t>
      </w:r>
    </w:p>
    <w:p>
      <w:pPr>
        <w:pStyle w:val="null3"/>
      </w:pPr>
      <w:r>
        <w:rPr>
          <w:rFonts w:ascii="仿宋_GB2312" w:hAnsi="仿宋_GB2312" w:cs="仿宋_GB2312" w:eastAsia="仿宋_GB2312"/>
        </w:rPr>
        <w:t>采购包最高限价（元）: 463,555.00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信息化存储扩容设备采购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463,555.00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标的名称：信息化存储扩容设备采购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产品名称</w:t>
                  </w:r>
                </w:p>
              </w:tc>
              <w:tc>
                <w:tcPr>
                  <w:tcW w:type="dxa" w:w="511"/>
                </w:tcPr>
                <w:p>
                  <w:pPr>
                    <w:pStyle w:val="null3"/>
                  </w:pPr>
                  <w:r>
                    <w:rPr>
                      <w:rFonts w:ascii="仿宋_GB2312" w:hAnsi="仿宋_GB2312" w:cs="仿宋_GB2312" w:eastAsia="仿宋_GB2312"/>
                    </w:rPr>
                    <w:t>招标参数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存储服务器</w:t>
                  </w:r>
                </w:p>
              </w:tc>
              <w:tc>
                <w:tcPr>
                  <w:tcW w:type="dxa" w:w="511"/>
                </w:tcPr>
                <w:p>
                  <w:pPr>
                    <w:pStyle w:val="null3"/>
                  </w:pPr>
                  <w:r>
                    <w:rPr>
                      <w:rFonts w:ascii="仿宋_GB2312" w:hAnsi="仿宋_GB2312" w:cs="仿宋_GB2312" w:eastAsia="仿宋_GB2312"/>
                    </w:rPr>
                    <w:t>1.设备具有≥3个千兆以太网接口、≥2个USB3.0接口，≥1个RS232接口、≥1个PCIE4.0插槽、≥1个VGA接口和≥24盘位前面板维护。</w:t>
                  </w:r>
                </w:p>
                <w:p>
                  <w:pPr>
                    <w:pStyle w:val="null3"/>
                  </w:pPr>
                  <w:r>
                    <w:rPr>
                      <w:rFonts w:ascii="仿宋_GB2312" w:hAnsi="仿宋_GB2312" w:cs="仿宋_GB2312" w:eastAsia="仿宋_GB2312"/>
                    </w:rPr>
                    <w:t>2.▲对于记录在存储介质上的视（音）频信息，取出的存储介质应能在同型号的其他设备上正常回放。复制后的视（音）频信号，应能在通用设备上回放，并不易被篡改。(提供第三方权威机构检测报告证明)</w:t>
                  </w:r>
                </w:p>
                <w:p>
                  <w:pPr>
                    <w:pStyle w:val="null3"/>
                  </w:pPr>
                  <w:r>
                    <w:rPr>
                      <w:rFonts w:ascii="仿宋_GB2312" w:hAnsi="仿宋_GB2312" w:cs="仿宋_GB2312" w:eastAsia="仿宋_GB2312"/>
                    </w:rPr>
                    <w:t>3.存储天数≥90天以上，硬盘为企业级。</w:t>
                  </w:r>
                </w:p>
                <w:p>
                  <w:pPr>
                    <w:pStyle w:val="null3"/>
                  </w:pPr>
                  <w:r>
                    <w:rPr>
                      <w:rFonts w:ascii="仿宋_GB2312" w:hAnsi="仿宋_GB2312" w:cs="仿宋_GB2312" w:eastAsia="仿宋_GB2312"/>
                    </w:rPr>
                    <w:t>4.可配置支持最少1000台设备接入；可配置支持最少2000路通道接入（含云端设备通道）。</w:t>
                  </w:r>
                </w:p>
                <w:p>
                  <w:pPr>
                    <w:pStyle w:val="null3"/>
                  </w:pPr>
                  <w:r>
                    <w:rPr>
                      <w:rFonts w:ascii="仿宋_GB2312" w:hAnsi="仿宋_GB2312" w:cs="仿宋_GB2312" w:eastAsia="仿宋_GB2312"/>
                    </w:rPr>
                    <w:t>5.支持B／S、C／S客户端；支持手机、PAD移动客户端访问，支持预览／回放／下载／本地录像／抓拍／PTZ等功能，可兼容iOS、Andriod系统；支持多个客户端同时访问平台。</w:t>
                  </w:r>
                </w:p>
                <w:p>
                  <w:pPr>
                    <w:pStyle w:val="null3"/>
                  </w:pPr>
                  <w:r>
                    <w:rPr>
                      <w:rFonts w:ascii="仿宋_GB2312" w:hAnsi="仿宋_GB2312" w:cs="仿宋_GB2312" w:eastAsia="仿宋_GB2312"/>
                    </w:rPr>
                    <w:t>6.▲ 自动识别磁盘的剩余空间容量；可根据用户的数据存储需求，划分多个容量不同的逻辑卷，并支持在线空间扩展，存储业务正常；可划分不少于1024个逻辑资源卷，单个逻辑资源卷容量≥64TB，并可扩容。(提供第三方权威机构检测报告证明)</w:t>
                  </w:r>
                </w:p>
                <w:p>
                  <w:pPr>
                    <w:pStyle w:val="null3"/>
                  </w:pPr>
                  <w:r>
                    <w:rPr>
                      <w:rFonts w:ascii="仿宋_GB2312" w:hAnsi="仿宋_GB2312" w:cs="仿宋_GB2312" w:eastAsia="仿宋_GB2312"/>
                    </w:rPr>
                    <w:t>7.▲在磁盘发生故障导致RAID阵列处于降级／重建状态下，同时写入≥1000路2Mbps视频流时，数据写入无任何影响； 可根据不同的场景设定重构优先级和重构策略； 同时重构系统根据当前负载情况自动调整数据恢复速度，期间业务不中断硬盘利用率最高为99％高利用率。(提供第三方权威机构检测报告证明)</w:t>
                  </w:r>
                </w:p>
                <w:p>
                  <w:pPr>
                    <w:pStyle w:val="null3"/>
                  </w:pPr>
                  <w:r>
                    <w:rPr>
                      <w:rFonts w:ascii="仿宋_GB2312" w:hAnsi="仿宋_GB2312" w:cs="仿宋_GB2312" w:eastAsia="仿宋_GB2312"/>
                    </w:rPr>
                    <w:t>8.▲支持自定义数据缓存加速管理，根据客户不同的需求，调整R／Wcache参数，包括读写缓存的大小、刷新策略；支持磁盘缓存开启和关闭。(提供第三方权威机构检测报告证明)</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大模型AI警戒摄像机</w:t>
                  </w:r>
                </w:p>
              </w:tc>
              <w:tc>
                <w:tcPr>
                  <w:tcW w:type="dxa" w:w="511"/>
                </w:tcPr>
                <w:p>
                  <w:pPr>
                    <w:pStyle w:val="null3"/>
                  </w:pPr>
                  <w:r>
                    <w:rPr>
                      <w:rFonts w:ascii="仿宋_GB2312" w:hAnsi="仿宋_GB2312" w:cs="仿宋_GB2312" w:eastAsia="仿宋_GB2312"/>
                    </w:rPr>
                    <w:t>1.▲为保证极端低照度环境下的视频效果，设备应支持AI-ISP图像质量提升算法，当环境照度低于设定阈值时，摄像机自动开启图像质量提升算法，使视频图像更清晰。(提供第三方权威机构检测报告证明)</w:t>
                  </w:r>
                </w:p>
                <w:p>
                  <w:pPr>
                    <w:pStyle w:val="null3"/>
                  </w:pPr>
                  <w:r>
                    <w:rPr>
                      <w:rFonts w:ascii="仿宋_GB2312" w:hAnsi="仿宋_GB2312" w:cs="仿宋_GB2312" w:eastAsia="仿宋_GB2312"/>
                    </w:rPr>
                    <w:t>2.传感器≥400万像素，分辨率≥2688*1520。</w:t>
                  </w:r>
                </w:p>
                <w:p>
                  <w:pPr>
                    <w:pStyle w:val="null3"/>
                  </w:pPr>
                  <w:r>
                    <w:rPr>
                      <w:rFonts w:ascii="仿宋_GB2312" w:hAnsi="仿宋_GB2312" w:cs="仿宋_GB2312" w:eastAsia="仿宋_GB2312"/>
                    </w:rPr>
                    <w:t>3.内置CPU／GPU／NPU一体化芯片、7颗暖光灯、2个麦克风和1个扬声器，CMOS图像传感器靶面尺寸≥1／1.8英寸。</w:t>
                  </w:r>
                </w:p>
                <w:p>
                  <w:pPr>
                    <w:pStyle w:val="null3"/>
                  </w:pPr>
                  <w:r>
                    <w:rPr>
                      <w:rFonts w:ascii="仿宋_GB2312" w:hAnsi="仿宋_GB2312" w:cs="仿宋_GB2312" w:eastAsia="仿宋_GB2312"/>
                    </w:rPr>
                    <w:t>4.▲摄像机内置身份认证密钥，并采用公钥对解码密钥进行加密。(提供第三方权威机构检测报告证明)</w:t>
                  </w:r>
                </w:p>
                <w:p>
                  <w:pPr>
                    <w:pStyle w:val="null3"/>
                  </w:pPr>
                  <w:r>
                    <w:rPr>
                      <w:rFonts w:ascii="仿宋_GB2312" w:hAnsi="仿宋_GB2312" w:cs="仿宋_GB2312" w:eastAsia="仿宋_GB2312"/>
                    </w:rPr>
                    <w:t>5.摄像机镜头与补光灯应采用独立舱体布局。</w:t>
                  </w:r>
                </w:p>
                <w:p>
                  <w:pPr>
                    <w:pStyle w:val="null3"/>
                  </w:pPr>
                  <w:r>
                    <w:rPr>
                      <w:rFonts w:ascii="仿宋_GB2312" w:hAnsi="仿宋_GB2312" w:cs="仿宋_GB2312" w:eastAsia="仿宋_GB2312"/>
                    </w:rPr>
                    <w:t>6.▲支持对监控画面全屏区域或设定区域内出现的机动车、二轮车、三轮车和行人进行检测，可将人脸与人体、车牌与车辆进行关联显示，可对监控画面中出现的不少于40个目标进行检测。(提供第三方权威机构检测报告证明)</w:t>
                  </w:r>
                </w:p>
                <w:p>
                  <w:pPr>
                    <w:pStyle w:val="null3"/>
                  </w:pPr>
                  <w:r>
                    <w:rPr>
                      <w:rFonts w:ascii="仿宋_GB2312" w:hAnsi="仿宋_GB2312" w:cs="仿宋_GB2312" w:eastAsia="仿宋_GB2312"/>
                    </w:rPr>
                    <w:t>7.支持区域入侵检测，支持对在检测区域内停留超过设定阈值的机动车、非机动车、行人等目标进行分类抓拍，支持目标自动过滤，可过滤光影、树叶、狗、猫、玩具等目标，并支持报警上传及联动报警输出。</w:t>
                  </w:r>
                </w:p>
                <w:p>
                  <w:pPr>
                    <w:pStyle w:val="null3"/>
                  </w:pPr>
                  <w:r>
                    <w:rPr>
                      <w:rFonts w:ascii="仿宋_GB2312" w:hAnsi="仿宋_GB2312" w:cs="仿宋_GB2312" w:eastAsia="仿宋_GB2312"/>
                    </w:rPr>
                    <w:t>8.供电方式：支持DC12V、POE，防护等级：≥IP67。</w:t>
                  </w:r>
                </w:p>
              </w:tc>
              <w:tc>
                <w:tcPr>
                  <w:tcW w:type="dxa" w:w="511"/>
                </w:tcPr>
                <w:p>
                  <w:pPr>
                    <w:pStyle w:val="null3"/>
                  </w:pPr>
                  <w:r>
                    <w:rPr>
                      <w:rFonts w:ascii="仿宋_GB2312" w:hAnsi="仿宋_GB2312" w:cs="仿宋_GB2312" w:eastAsia="仿宋_GB2312"/>
                    </w:rPr>
                    <w:t>40</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智能高空抛物摄像机</w:t>
                  </w:r>
                </w:p>
              </w:tc>
              <w:tc>
                <w:tcPr>
                  <w:tcW w:type="dxa" w:w="511"/>
                </w:tcPr>
                <w:p>
                  <w:pPr>
                    <w:pStyle w:val="null3"/>
                  </w:pPr>
                  <w:r>
                    <w:rPr>
                      <w:rFonts w:ascii="仿宋_GB2312" w:hAnsi="仿宋_GB2312" w:cs="仿宋_GB2312" w:eastAsia="仿宋_GB2312"/>
                    </w:rPr>
                    <w:t>1.最高像素≥ 400万，最高分辨率≥。2560*1440，传感器靶面≥ 1/1.8"。</w:t>
                  </w:r>
                </w:p>
                <w:p>
                  <w:pPr>
                    <w:pStyle w:val="null3"/>
                  </w:pPr>
                  <w:r>
                    <w:rPr>
                      <w:rFonts w:ascii="仿宋_GB2312" w:hAnsi="仿宋_GB2312" w:cs="仿宋_GB2312" w:eastAsia="仿宋_GB2312"/>
                    </w:rPr>
                    <w:t>2.可在夜间检测和识别距样机≥30米处的人员和车辆，触发告警后web界面出现红框标识，可联动抓拍图片或联动声光告警。</w:t>
                  </w:r>
                </w:p>
                <w:p>
                  <w:pPr>
                    <w:pStyle w:val="null3"/>
                  </w:pPr>
                  <w:r>
                    <w:rPr>
                      <w:rFonts w:ascii="仿宋_GB2312" w:hAnsi="仿宋_GB2312" w:cs="仿宋_GB2312" w:eastAsia="仿宋_GB2312"/>
                    </w:rPr>
                    <w:t>3.支持区域入侵和越界检测，且支持人／机动车分类可选，可对触发告警的机动车及行人进行抓拍。</w:t>
                  </w:r>
                </w:p>
                <w:p>
                  <w:pPr>
                    <w:pStyle w:val="null3"/>
                  </w:pPr>
                  <w:r>
                    <w:rPr>
                      <w:rFonts w:ascii="仿宋_GB2312" w:hAnsi="仿宋_GB2312" w:cs="仿宋_GB2312" w:eastAsia="仿宋_GB2312"/>
                    </w:rPr>
                    <w:t>4.▲在一定照度下，摄像机自动开启AI－ISP图像优化功能。(提供第三方权威机构检测报告证明)</w:t>
                  </w:r>
                </w:p>
                <w:p>
                  <w:pPr>
                    <w:pStyle w:val="null3"/>
                  </w:pPr>
                  <w:r>
                    <w:rPr>
                      <w:rFonts w:ascii="仿宋_GB2312" w:hAnsi="仿宋_GB2312" w:cs="仿宋_GB2312" w:eastAsia="仿宋_GB2312"/>
                    </w:rPr>
                    <w:t>5.▲静态场景，相同图像质量下，使用H.265／H.264编码格式开启智能编码高级模式与基础模式相比，码率可节省码流≥92％，五码流均可开启智能编码。(提供第三方权威机构检测报告证明)</w:t>
                  </w:r>
                </w:p>
                <w:p>
                  <w:pPr>
                    <w:pStyle w:val="null3"/>
                  </w:pPr>
                  <w:r>
                    <w:rPr>
                      <w:rFonts w:ascii="仿宋_GB2312" w:hAnsi="仿宋_GB2312" w:cs="仿宋_GB2312" w:eastAsia="仿宋_GB2312"/>
                    </w:rPr>
                    <w:t>6.▲摄像机可配置启用或关闭视频内容保护功能，启用该功能时可对视频图像码流进行随机混淆处理，摄像机启用视频内容保护功能后，只有经过授权并具有解码秘钥的用户才能通过平台软件正常播放、回放和下载摄像机回传的视频数据。(提供第三方权威机构检测报告证明)</w:t>
                  </w:r>
                </w:p>
                <w:p>
                  <w:pPr>
                    <w:pStyle w:val="null3"/>
                  </w:pPr>
                  <w:r>
                    <w:rPr>
                      <w:rFonts w:ascii="仿宋_GB2312" w:hAnsi="仿宋_GB2312" w:cs="仿宋_GB2312" w:eastAsia="仿宋_GB2312"/>
                    </w:rPr>
                    <w:t>7.防水防尘≥ IP67。</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校时服务器（含30米天馈包）</w:t>
                  </w:r>
                </w:p>
              </w:tc>
              <w:tc>
                <w:tcPr>
                  <w:tcW w:type="dxa" w:w="511"/>
                </w:tcPr>
                <w:p>
                  <w:pPr>
                    <w:pStyle w:val="null3"/>
                  </w:pPr>
                  <w:r>
                    <w:rPr>
                      <w:rFonts w:ascii="仿宋_GB2312" w:hAnsi="仿宋_GB2312" w:cs="仿宋_GB2312" w:eastAsia="仿宋_GB2312"/>
                    </w:rPr>
                    <w:t>1.内置处理器:ARM架构工艺处理器。</w:t>
                  </w:r>
                </w:p>
                <w:p>
                  <w:pPr>
                    <w:pStyle w:val="null3"/>
                  </w:pPr>
                  <w:r>
                    <w:rPr>
                      <w:rFonts w:ascii="仿宋_GB2312" w:hAnsi="仿宋_GB2312" w:cs="仿宋_GB2312" w:eastAsia="仿宋_GB2312"/>
                    </w:rPr>
                    <w:t>2.单卡支持≥4路NTP输出，满配支持≥4张输出卡，支持端口绑定功能。</w:t>
                  </w:r>
                </w:p>
                <w:p>
                  <w:pPr>
                    <w:pStyle w:val="null3"/>
                  </w:pPr>
                  <w:r>
                    <w:rPr>
                      <w:rFonts w:ascii="仿宋_GB2312" w:hAnsi="仿宋_GB2312" w:cs="仿宋_GB2312" w:eastAsia="仿宋_GB2312"/>
                    </w:rPr>
                    <w:t>3.支持一路北斗卫星输入，支持扩展2路北斗卫星输入，每路预留GPS信号接收的能力，支持NTP输入校时。</w:t>
                  </w:r>
                </w:p>
                <w:p>
                  <w:pPr>
                    <w:pStyle w:val="null3"/>
                  </w:pPr>
                  <w:r>
                    <w:rPr>
                      <w:rFonts w:ascii="仿宋_GB2312" w:hAnsi="仿宋_GB2312" w:cs="仿宋_GB2312" w:eastAsia="仿宋_GB2312"/>
                    </w:rPr>
                    <w:t>4.设备授时精度±100ns。</w:t>
                  </w:r>
                </w:p>
                <w:p>
                  <w:pPr>
                    <w:pStyle w:val="null3"/>
                  </w:pPr>
                  <w:r>
                    <w:rPr>
                      <w:rFonts w:ascii="仿宋_GB2312" w:hAnsi="仿宋_GB2312" w:cs="仿宋_GB2312" w:eastAsia="仿宋_GB2312"/>
                    </w:rPr>
                    <w:t>5.守时能力≤50us（24 小时）。</w:t>
                  </w:r>
                </w:p>
                <w:p>
                  <w:pPr>
                    <w:pStyle w:val="null3"/>
                  </w:pPr>
                  <w:r>
                    <w:rPr>
                      <w:rFonts w:ascii="仿宋_GB2312" w:hAnsi="仿宋_GB2312" w:cs="仿宋_GB2312" w:eastAsia="仿宋_GB2312"/>
                    </w:rPr>
                    <w:t>6.NTP同步精度≤10us。</w:t>
                  </w:r>
                </w:p>
                <w:p>
                  <w:pPr>
                    <w:pStyle w:val="null3"/>
                  </w:pPr>
                  <w:r>
                    <w:rPr>
                      <w:rFonts w:ascii="仿宋_GB2312" w:hAnsi="仿宋_GB2312" w:cs="仿宋_GB2312" w:eastAsia="仿宋_GB2312"/>
                    </w:rPr>
                    <w:t>7.可通过NTP模式或北斗/GPS模式对待授时设备进行授时。</w:t>
                  </w:r>
                </w:p>
                <w:p>
                  <w:pPr>
                    <w:pStyle w:val="null3"/>
                  </w:pPr>
                  <w:r>
                    <w:rPr>
                      <w:rFonts w:ascii="仿宋_GB2312" w:hAnsi="仿宋_GB2312" w:cs="仿宋_GB2312" w:eastAsia="仿宋_GB2312"/>
                    </w:rPr>
                    <w:t>8.配套含≥1套GPS/BD授时天线、≥30米RG58成品馈线、≥1根N公转BNC公跳线、≥1套安装套件、≥1套防雷包。</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辅材</w:t>
                  </w:r>
                </w:p>
              </w:tc>
              <w:tc>
                <w:tcPr>
                  <w:tcW w:type="dxa" w:w="511"/>
                </w:tcPr>
                <w:p>
                  <w:pPr>
                    <w:pStyle w:val="null3"/>
                  </w:pPr>
                  <w:r>
                    <w:rPr>
                      <w:rFonts w:ascii="仿宋_GB2312" w:hAnsi="仿宋_GB2312" w:cs="仿宋_GB2312" w:eastAsia="仿宋_GB2312"/>
                    </w:rPr>
                    <w:t>包含施工及辅材(八芯无氧铜网络视频传说电缆、数据管理互通终端、支架立杆、信息互联终端、综合安防管理标准控制柜等)。</w:t>
                  </w:r>
                </w:p>
              </w:tc>
              <w:tc>
                <w:tcPr>
                  <w:tcW w:type="dxa" w:w="1022"/>
                  <w:gridSpan w:val="2"/>
                </w:tcPr>
                <w:p>
                  <w:pPr>
                    <w:pStyle w:val="null3"/>
                  </w:pPr>
                  <w:r>
                    <w:rPr>
                      <w:rFonts w:ascii="仿宋_GB2312" w:hAnsi="仿宋_GB2312" w:cs="仿宋_GB2312" w:eastAsia="仿宋_GB2312"/>
                    </w:rPr>
                    <w:t>完成本次项目所用的所有辅材</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pPr>
            <w:r>
              <w:rPr>
                <w:rFonts w:ascii="仿宋_GB2312" w:hAnsi="仿宋_GB2312" w:cs="仿宋_GB2312" w:eastAsia="仿宋_GB2312"/>
              </w:rPr>
              <w:t>1.投标人需要提供合理的项目整体供货方案，能按照项目分解节点并可跟踪实施。</w:t>
            </w:r>
          </w:p>
          <w:p>
            <w:pPr>
              <w:pStyle w:val="null3"/>
            </w:pPr>
            <w:r>
              <w:rPr>
                <w:rFonts w:ascii="仿宋_GB2312" w:hAnsi="仿宋_GB2312" w:cs="仿宋_GB2312" w:eastAsia="仿宋_GB2312"/>
              </w:rPr>
              <w:t>2.质保期内出现异常或故障，正常工作日应在6小时内、节假日应在12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w:t>
            </w:r>
          </w:p>
          <w:p>
            <w:pPr>
              <w:pStyle w:val="null3"/>
            </w:pPr>
            <w:r>
              <w:rPr>
                <w:rFonts w:ascii="仿宋_GB2312" w:hAnsi="仿宋_GB2312" w:cs="仿宋_GB2312" w:eastAsia="仿宋_GB2312"/>
              </w:rPr>
              <w:t>3.投标人需要提供品控管理方案，对产品品质有管理管控过程，有独立品管部门和专门品管人员，确保产品生产过程中的质量控制完善。</w:t>
            </w:r>
          </w:p>
          <w:p>
            <w:pPr>
              <w:pStyle w:val="null3"/>
            </w:pPr>
            <w:r>
              <w:rPr>
                <w:rFonts w:ascii="仿宋_GB2312" w:hAnsi="仿宋_GB2312" w:cs="仿宋_GB2312" w:eastAsia="仿宋_GB2312"/>
              </w:rPr>
              <w:t>4.投标人需要提供运输、安装服务实施方案，根据货物交付时间节点，落实送货安装时间和人员安排，确保按期交付使用。</w:t>
            </w:r>
          </w:p>
          <w:p>
            <w:pPr>
              <w:pStyle w:val="null3"/>
            </w:pPr>
            <w:r>
              <w:rPr>
                <w:rFonts w:ascii="仿宋_GB2312" w:hAnsi="仿宋_GB2312" w:cs="仿宋_GB2312" w:eastAsia="仿宋_GB2312"/>
              </w:rPr>
              <w:t>5.根据使用需求免费提供设备使用培训服务。</w:t>
            </w:r>
          </w:p>
          <w:p>
            <w:pPr>
              <w:pStyle w:val="null3"/>
            </w:pPr>
            <w:r>
              <w:rPr>
                <w:rFonts w:ascii="仿宋_GB2312" w:hAnsi="仿宋_GB2312" w:cs="仿宋_GB2312" w:eastAsia="仿宋_GB2312"/>
              </w:rPr>
              <w:t>6.所有设备以验收之日为质保起始日期，质保期不低于一年，质保期内免费上门提供服务。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渭南市华州区华州街道办城关初级中学校内。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拟投入使用后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2、所有产品均已运输至指定地点，并安装调试完毕。 3、招标文件、投标人承诺及采购合同约定的附件、工具、技术资料等齐全；提供产品使用说明书、合格证。 4、所有耗材使用必须包装完好、全新的合格产品，生产日期不得超过半年，不得使用积压耗材或维修件。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供应商应具有独立承担民事责任的能力且具备向采购人提供相关产品的销售能力的企业法人、事业法人、其他组织或者自然人；</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具有良好的商业信誉和健全的财务会计制度以及有依法缆纳税收和社会保障资金的良好记录(提供相关证明或承诺)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投标时间不足一年的可提供成立后任意时段的资产负债表）或投标文件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中标供应商的承诺函同中标结果一并公示。</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具有履行本合同的说明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政府采购二十二条+拒绝贿赂承诺书+授权委托书+信用信息.docx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政府采购二十二条+拒绝贿赂承诺书+授权委托书+信用信息.docx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应按招标文件要求签署、盖章</w:t>
            </w:r>
          </w:p>
        </w:tc>
        <w:tc>
          <w:tcPr>
            <w:tcW w:type="dxa" w:w="1661"/>
          </w:tcPr>
          <w:p>
            <w:pPr>
              <w:pStyle w:val="null3"/>
            </w:pPr>
            <w:r>
              <w:rPr>
                <w:rFonts w:ascii="仿宋_GB2312" w:hAnsi="仿宋_GB2312" w:cs="仿宋_GB2312" w:eastAsia="仿宋_GB2312"/>
              </w:rPr>
              <w:t>开标一览表 中小企业声明函 商务应答表 政府采购二十二条+拒绝贿赂承诺书+授权委托书+信用信息.docx 项目实施方案.docx 投标人应提交的相关资格证明材料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分项报价表.docx 投标函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所投产品的技术参数完全符合、响应招标文件要求，没有负偏离计22分。 1、技术参数中标“▲”项的为重要参数，每负偏离一项扣1分。 2、技术参数中非“▲”项的为一般参数，每负偏离一项扣0.5分，扣完为止。注：须提供证明材料（包含但不限于第三方检测报告、彩页、官网截图等）。</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投标人需针对本项目提供完整的项目实施方案。内容包含：①供货组织安排②实施计划及进度计划③安装调试及验收方案④物理调配及保障措施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存储服务器、大模型AI警戒摄像机、智能高空抛物摄像机、校时服务器（含30米天馈包）产品的合法来源渠道证明文件（如：产品制造商授权、销售协议、代理协议等），每提供一个产品的合法来源渠道证明文件得1分，满分4分。不提供不得分。 备注：以加盖投标人公章的证明材料为计分依据。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内容包含：①产品质量保障措施；②使用寿命及效果③质量管理体系及目标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一、评审内容：针对培训要求提供培训计划，为采购人培训操作维护人员，以保障使用过程中能熟练操作、维护和正常使用，培训方案内容包含①培训内容及方式②培训计划安排。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一、评审内容：根据项目实际需求提供售后服务方案。内容包含:①售后服务范围及保障措施②响应时间③故障处理及补救措施④应急处理方案。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1分，该项分值扣完为止，未提供不得分。 三、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提供投标人2022年7月至今同类项目合同（以合同签订日期为准），每提供1个得1分，最高得3分。 备注：投标文件中提供合同复印件。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对商务要求完全响应且优于招标文件要求的每优于一项得1分，最高得2分。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满足招标文件要求且投标价格最低的投标报价为评标基准价，其价格分为满分。其他投标单位的价格分统一按照下列公式计算：投标报价得分=(评标基准价／投标报价)×30%×100。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详见附件：政府采购二十二条+拒绝贿赂承诺书+授权委托书+信用信息.docx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