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3677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jc w:val="center"/>
        <w:textAlignment w:val="auto"/>
        <w:outlineLvl w:val="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 xml:space="preserve"> </w:t>
      </w:r>
      <w:r>
        <w:rPr>
          <w:rFonts w:hint="eastAsia" w:ascii="宋体" w:hAnsi="宋体" w:eastAsia="宋体" w:cs="宋体"/>
          <w:b/>
          <w:color w:val="auto"/>
          <w:sz w:val="36"/>
          <w:szCs w:val="36"/>
          <w:highlight w:val="none"/>
        </w:rPr>
        <w:t>政府采购合同格式</w:t>
      </w:r>
    </w:p>
    <w:p w14:paraId="26C175A1">
      <w:pPr>
        <w:pStyle w:val="3"/>
        <w:shd w:val="clear" w:color="auto" w:fill="auto"/>
        <w:jc w:val="center"/>
        <w:rPr>
          <w:rFonts w:hint="eastAsia" w:ascii="宋体" w:hAnsi="宋体" w:eastAsia="宋体" w:cs="宋体"/>
          <w:b/>
          <w:bCs/>
          <w:color w:val="auto"/>
          <w:sz w:val="52"/>
          <w:szCs w:val="40"/>
          <w:highlight w:val="none"/>
        </w:rPr>
      </w:pPr>
    </w:p>
    <w:p w14:paraId="5F9C3D16">
      <w:pPr>
        <w:pStyle w:val="3"/>
        <w:shd w:val="clear" w:color="auto" w:fill="auto"/>
        <w:rPr>
          <w:rFonts w:hint="eastAsia" w:ascii="宋体" w:hAnsi="宋体" w:eastAsia="宋体" w:cs="宋体"/>
          <w:color w:val="auto"/>
          <w:highlight w:val="none"/>
        </w:rPr>
      </w:pPr>
    </w:p>
    <w:p w14:paraId="434E1CED">
      <w:pPr>
        <w:shd w:val="clear" w:color="auto" w:fill="auto"/>
        <w:spacing w:line="360" w:lineRule="auto"/>
        <w:jc w:val="center"/>
        <w:rPr>
          <w:rFonts w:hint="eastAsia" w:ascii="宋体" w:hAnsi="宋体" w:eastAsia="宋体" w:cs="宋体"/>
          <w:b/>
          <w:bCs/>
          <w:color w:val="auto"/>
          <w:spacing w:val="-6"/>
          <w:kern w:val="0"/>
          <w:sz w:val="52"/>
          <w:szCs w:val="40"/>
          <w:highlight w:val="none"/>
          <w:lang w:eastAsia="zh-CN"/>
        </w:rPr>
      </w:pPr>
      <w:r>
        <w:rPr>
          <w:rFonts w:hint="eastAsia" w:ascii="宋体" w:hAnsi="宋体" w:eastAsia="宋体" w:cs="宋体"/>
          <w:b/>
          <w:bCs/>
          <w:color w:val="auto"/>
          <w:spacing w:val="-6"/>
          <w:kern w:val="0"/>
          <w:sz w:val="52"/>
          <w:szCs w:val="40"/>
          <w:highlight w:val="none"/>
          <w:lang w:eastAsia="zh-CN"/>
        </w:rPr>
        <w:t>2025年华州区下庙镇新建设施蔬菜</w:t>
      </w:r>
    </w:p>
    <w:p w14:paraId="65F1F79C">
      <w:pPr>
        <w:shd w:val="clear" w:color="auto" w:fill="auto"/>
        <w:spacing w:line="360" w:lineRule="auto"/>
        <w:jc w:val="center"/>
        <w:rPr>
          <w:rFonts w:hint="eastAsia" w:ascii="宋体" w:hAnsi="宋体" w:eastAsia="宋体" w:cs="宋体"/>
          <w:color w:val="auto"/>
          <w:spacing w:val="-6"/>
          <w:kern w:val="0"/>
          <w:highlight w:val="none"/>
          <w:lang w:eastAsia="zh-CN"/>
        </w:rPr>
      </w:pPr>
      <w:r>
        <w:rPr>
          <w:rFonts w:hint="eastAsia" w:ascii="宋体" w:hAnsi="宋体" w:eastAsia="宋体" w:cs="宋体"/>
          <w:b/>
          <w:bCs/>
          <w:color w:val="auto"/>
          <w:spacing w:val="-6"/>
          <w:kern w:val="0"/>
          <w:sz w:val="52"/>
          <w:szCs w:val="40"/>
          <w:highlight w:val="none"/>
          <w:lang w:eastAsia="zh-CN"/>
        </w:rPr>
        <w:t>大棚项目</w:t>
      </w:r>
    </w:p>
    <w:p w14:paraId="1AFAE305">
      <w:pPr>
        <w:keepNext/>
        <w:keepLines/>
        <w:shd w:val="clear" w:color="auto" w:fill="auto"/>
        <w:rPr>
          <w:rFonts w:hint="eastAsia" w:ascii="宋体" w:hAnsi="宋体" w:eastAsia="宋体" w:cs="宋体"/>
          <w:color w:val="auto"/>
          <w:highlight w:val="none"/>
        </w:rPr>
      </w:pPr>
    </w:p>
    <w:p w14:paraId="27CA57CB">
      <w:pPr>
        <w:pStyle w:val="3"/>
        <w:shd w:val="clear" w:color="auto" w:fill="auto"/>
        <w:rPr>
          <w:rFonts w:hint="eastAsia" w:ascii="宋体" w:hAnsi="宋体" w:eastAsia="宋体" w:cs="宋体"/>
          <w:color w:val="auto"/>
          <w:highlight w:val="none"/>
        </w:rPr>
      </w:pPr>
    </w:p>
    <w:p w14:paraId="70A62535">
      <w:pPr>
        <w:shd w:val="clear" w:color="auto" w:fill="auto"/>
        <w:rPr>
          <w:rFonts w:hint="eastAsia" w:ascii="宋体" w:hAnsi="宋体" w:eastAsia="宋体" w:cs="宋体"/>
          <w:color w:val="auto"/>
          <w:highlight w:val="none"/>
        </w:rPr>
      </w:pPr>
    </w:p>
    <w:p w14:paraId="7BB177C9">
      <w:pPr>
        <w:shd w:val="clear" w:color="auto" w:fill="auto"/>
        <w:adjustRightInd w:val="0"/>
        <w:snapToGrid w:val="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（示范文本，最终以签订为准）</w:t>
      </w:r>
    </w:p>
    <w:p w14:paraId="51B144ED">
      <w:pPr>
        <w:shd w:val="clear" w:color="auto" w:fill="auto"/>
        <w:ind w:firstLine="480"/>
        <w:rPr>
          <w:rFonts w:hint="eastAsia" w:ascii="宋体" w:hAnsi="宋体" w:eastAsia="宋体" w:cs="宋体"/>
          <w:color w:val="auto"/>
          <w:highlight w:val="none"/>
        </w:rPr>
      </w:pPr>
    </w:p>
    <w:p w14:paraId="4B66D64F">
      <w:pPr>
        <w:shd w:val="clear" w:color="auto" w:fill="auto"/>
        <w:ind w:firstLine="480"/>
        <w:rPr>
          <w:rFonts w:hint="eastAsia" w:ascii="宋体" w:hAnsi="宋体" w:eastAsia="宋体" w:cs="宋体"/>
          <w:color w:val="auto"/>
          <w:highlight w:val="none"/>
        </w:rPr>
      </w:pPr>
    </w:p>
    <w:p w14:paraId="0A699C1A">
      <w:pPr>
        <w:shd w:val="clear" w:color="auto" w:fill="auto"/>
        <w:ind w:firstLine="480"/>
        <w:rPr>
          <w:rFonts w:hint="eastAsia" w:ascii="宋体" w:hAnsi="宋体" w:eastAsia="宋体" w:cs="宋体"/>
          <w:color w:val="auto"/>
          <w:highlight w:val="none"/>
        </w:rPr>
      </w:pPr>
    </w:p>
    <w:p w14:paraId="398245F2">
      <w:pPr>
        <w:shd w:val="clear" w:color="auto" w:fill="auto"/>
        <w:spacing w:line="600" w:lineRule="auto"/>
        <w:ind w:firstLine="480"/>
        <w:rPr>
          <w:rFonts w:hint="eastAsia" w:ascii="宋体" w:hAnsi="宋体" w:eastAsia="宋体" w:cs="宋体"/>
          <w:color w:val="auto"/>
          <w:highlight w:val="none"/>
        </w:rPr>
      </w:pPr>
    </w:p>
    <w:p w14:paraId="70FF1895">
      <w:pPr>
        <w:pStyle w:val="3"/>
        <w:shd w:val="clear" w:color="auto" w:fill="auto"/>
        <w:rPr>
          <w:rFonts w:hint="eastAsia" w:ascii="宋体" w:hAnsi="宋体" w:eastAsia="宋体" w:cs="宋体"/>
          <w:color w:val="auto"/>
          <w:highlight w:val="none"/>
        </w:rPr>
      </w:pPr>
    </w:p>
    <w:p w14:paraId="3EBF3C46">
      <w:pPr>
        <w:pStyle w:val="3"/>
        <w:shd w:val="clear" w:color="auto" w:fill="auto"/>
        <w:rPr>
          <w:rFonts w:hint="eastAsia" w:ascii="宋体" w:hAnsi="宋体" w:eastAsia="宋体" w:cs="宋体"/>
          <w:color w:val="auto"/>
          <w:highlight w:val="none"/>
        </w:rPr>
      </w:pPr>
    </w:p>
    <w:p w14:paraId="48AE6160">
      <w:pPr>
        <w:shd w:val="clear" w:color="auto" w:fill="auto"/>
        <w:rPr>
          <w:rFonts w:hint="eastAsia" w:ascii="宋体" w:hAnsi="宋体" w:eastAsia="宋体" w:cs="宋体"/>
          <w:color w:val="auto"/>
          <w:highlight w:val="none"/>
        </w:rPr>
      </w:pPr>
    </w:p>
    <w:p w14:paraId="2B9B732A">
      <w:pPr>
        <w:pStyle w:val="3"/>
        <w:shd w:val="clear" w:color="auto" w:fill="auto"/>
        <w:rPr>
          <w:rFonts w:hint="eastAsia" w:ascii="宋体" w:hAnsi="宋体" w:eastAsia="宋体" w:cs="宋体"/>
          <w:color w:val="auto"/>
          <w:highlight w:val="none"/>
        </w:rPr>
      </w:pPr>
    </w:p>
    <w:p w14:paraId="01AFD421">
      <w:pPr>
        <w:shd w:val="clear" w:color="auto" w:fill="auto"/>
        <w:rPr>
          <w:rFonts w:hint="eastAsia" w:ascii="宋体" w:hAnsi="宋体" w:eastAsia="宋体" w:cs="宋体"/>
          <w:color w:val="auto"/>
          <w:highlight w:val="none"/>
        </w:rPr>
      </w:pPr>
    </w:p>
    <w:p w14:paraId="4E47AFD1">
      <w:pPr>
        <w:shd w:val="clear" w:color="auto" w:fill="auto"/>
        <w:spacing w:line="720" w:lineRule="auto"/>
        <w:ind w:left="1495" w:leftChars="100" w:hanging="1285" w:hangingChars="400"/>
        <w:jc w:val="left"/>
        <w:rPr>
          <w:rFonts w:hint="default" w:ascii="宋体" w:hAnsi="宋体" w:eastAsia="宋体" w:cs="宋体"/>
          <w:b/>
          <w:color w:val="auto"/>
          <w:kern w:val="0"/>
          <w:sz w:val="32"/>
          <w:szCs w:val="32"/>
          <w:highlight w:val="none"/>
          <w:u w:val="single"/>
          <w:lang w:val="en-US" w:eastAsia="zh-CN"/>
        </w:rPr>
      </w:pPr>
      <w:r>
        <w:rPr>
          <w:rFonts w:hint="eastAsia" w:ascii="宋体" w:hAnsi="宋体" w:eastAsia="宋体" w:cs="宋体"/>
          <w:b/>
          <w:color w:val="auto"/>
          <w:kern w:val="0"/>
          <w:sz w:val="32"/>
          <w:szCs w:val="32"/>
          <w:highlight w:val="none"/>
        </w:rPr>
        <w:t>甲方(委托方)：</w:t>
      </w:r>
      <w:r>
        <w:rPr>
          <w:rFonts w:hint="eastAsia" w:ascii="宋体" w:hAnsi="宋体" w:eastAsia="宋体" w:cs="宋体"/>
          <w:b/>
          <w:color w:val="auto"/>
          <w:kern w:val="0"/>
          <w:sz w:val="32"/>
          <w:szCs w:val="32"/>
          <w:highlight w:val="none"/>
          <w:lang w:val="en-US" w:eastAsia="zh-CN"/>
        </w:rPr>
        <w:t xml:space="preserve"> </w:t>
      </w:r>
      <w:r>
        <w:rPr>
          <w:rFonts w:hint="eastAsia" w:ascii="宋体" w:hAnsi="宋体" w:eastAsia="宋体" w:cs="宋体"/>
          <w:b/>
          <w:color w:val="auto"/>
          <w:kern w:val="0"/>
          <w:sz w:val="32"/>
          <w:szCs w:val="32"/>
          <w:highlight w:val="none"/>
          <w:u w:val="single"/>
          <w:lang w:val="en-US" w:eastAsia="zh-CN"/>
        </w:rPr>
        <w:t xml:space="preserve">                           </w:t>
      </w:r>
    </w:p>
    <w:p w14:paraId="6C9085B3">
      <w:pPr>
        <w:shd w:val="clear" w:color="auto" w:fill="auto"/>
        <w:spacing w:line="720" w:lineRule="auto"/>
        <w:ind w:left="1495" w:leftChars="100" w:hanging="1285" w:hangingChars="400"/>
        <w:jc w:val="left"/>
        <w:rPr>
          <w:rFonts w:hint="eastAsia" w:ascii="宋体" w:hAnsi="宋体" w:eastAsia="宋体" w:cs="宋体"/>
          <w:b/>
          <w:color w:val="auto"/>
          <w:kern w:val="0"/>
          <w:sz w:val="32"/>
          <w:szCs w:val="32"/>
          <w:highlight w:val="none"/>
          <w:u w:val="single"/>
        </w:rPr>
      </w:pPr>
      <w:r>
        <w:rPr>
          <w:rFonts w:hint="eastAsia" w:ascii="宋体" w:hAnsi="宋体" w:eastAsia="宋体" w:cs="宋体"/>
          <w:b/>
          <w:color w:val="auto"/>
          <w:kern w:val="0"/>
          <w:sz w:val="32"/>
          <w:szCs w:val="32"/>
          <w:highlight w:val="none"/>
        </w:rPr>
        <w:t>乙方(受托方)：</w:t>
      </w:r>
      <w:r>
        <w:rPr>
          <w:rFonts w:hint="eastAsia" w:ascii="宋体" w:hAnsi="宋体" w:eastAsia="宋体" w:cs="宋体"/>
          <w:b/>
          <w:color w:val="auto"/>
          <w:kern w:val="0"/>
          <w:sz w:val="32"/>
          <w:szCs w:val="32"/>
          <w:highlight w:val="none"/>
          <w:lang w:val="en-US" w:eastAsia="zh-CN"/>
        </w:rPr>
        <w:t xml:space="preserve"> </w:t>
      </w:r>
      <w:r>
        <w:rPr>
          <w:rFonts w:hint="eastAsia" w:ascii="宋体" w:hAnsi="宋体" w:eastAsia="宋体" w:cs="宋体"/>
          <w:b/>
          <w:color w:val="auto"/>
          <w:kern w:val="0"/>
          <w:sz w:val="32"/>
          <w:szCs w:val="32"/>
          <w:highlight w:val="none"/>
          <w:u w:val="single"/>
          <w:lang w:val="en-US" w:eastAsia="zh-CN"/>
        </w:rPr>
        <w:t xml:space="preserve">                           </w:t>
      </w:r>
    </w:p>
    <w:p w14:paraId="0AC2D316">
      <w:pPr>
        <w:shd w:val="clear" w:color="auto" w:fill="auto"/>
        <w:spacing w:line="360" w:lineRule="auto"/>
        <w:jc w:val="center"/>
        <w:rPr>
          <w:rFonts w:hint="eastAsia" w:ascii="宋体" w:hAnsi="宋体" w:eastAsia="宋体" w:cs="宋体"/>
          <w:b/>
          <w:color w:val="auto"/>
          <w:sz w:val="28"/>
          <w:szCs w:val="24"/>
          <w:highlight w:val="none"/>
          <w:lang w:eastAsia="zh-CN"/>
        </w:rPr>
      </w:pPr>
      <w:r>
        <w:rPr>
          <w:rFonts w:hint="eastAsia" w:ascii="宋体" w:hAnsi="宋体" w:eastAsia="宋体" w:cs="宋体"/>
          <w:b/>
          <w:color w:val="auto"/>
          <w:kern w:val="0"/>
          <w:sz w:val="32"/>
          <w:szCs w:val="32"/>
          <w:highlight w:val="none"/>
        </w:rPr>
        <w:t>二〇二</w:t>
      </w:r>
      <w:r>
        <w:rPr>
          <w:rFonts w:hint="eastAsia" w:ascii="宋体" w:hAnsi="宋体" w:cs="宋体"/>
          <w:b/>
          <w:color w:val="auto"/>
          <w:kern w:val="0"/>
          <w:sz w:val="32"/>
          <w:szCs w:val="32"/>
          <w:highlight w:val="none"/>
          <w:lang w:val="en-US" w:eastAsia="zh-CN"/>
        </w:rPr>
        <w:t>五</w:t>
      </w:r>
      <w:r>
        <w:rPr>
          <w:rFonts w:hint="eastAsia" w:ascii="宋体" w:hAnsi="宋体" w:eastAsia="宋体" w:cs="宋体"/>
          <w:b/>
          <w:color w:val="auto"/>
          <w:kern w:val="0"/>
          <w:sz w:val="32"/>
          <w:szCs w:val="32"/>
          <w:highlight w:val="none"/>
        </w:rPr>
        <w:t>年</w:t>
      </w:r>
      <w:r>
        <w:rPr>
          <w:rFonts w:hint="eastAsia" w:ascii="宋体" w:hAnsi="宋体" w:eastAsia="宋体" w:cs="宋体"/>
          <w:b/>
          <w:color w:val="auto"/>
          <w:kern w:val="0"/>
          <w:sz w:val="32"/>
          <w:szCs w:val="32"/>
          <w:highlight w:val="none"/>
          <w:lang w:val="en-US" w:eastAsia="zh-CN"/>
        </w:rPr>
        <w:t xml:space="preserve">    </w:t>
      </w:r>
      <w:r>
        <w:rPr>
          <w:rFonts w:hint="eastAsia" w:ascii="宋体" w:hAnsi="宋体" w:eastAsia="宋体" w:cs="宋体"/>
          <w:b/>
          <w:color w:val="auto"/>
          <w:kern w:val="0"/>
          <w:sz w:val="32"/>
          <w:szCs w:val="32"/>
          <w:highlight w:val="none"/>
        </w:rPr>
        <w:t>月</w:t>
      </w:r>
      <w:r>
        <w:rPr>
          <w:rFonts w:hint="eastAsia" w:ascii="宋体" w:hAnsi="宋体" w:eastAsia="宋体" w:cs="宋体"/>
          <w:color w:val="auto"/>
          <w:sz w:val="24"/>
          <w:highlight w:val="none"/>
        </w:rPr>
        <w:br w:type="page"/>
      </w:r>
      <w:r>
        <w:rPr>
          <w:rFonts w:hint="eastAsia" w:ascii="宋体" w:hAnsi="宋体" w:eastAsia="宋体" w:cs="宋体"/>
          <w:b/>
          <w:color w:val="auto"/>
          <w:sz w:val="28"/>
          <w:szCs w:val="24"/>
          <w:highlight w:val="none"/>
          <w:lang w:eastAsia="zh-CN"/>
        </w:rPr>
        <w:t>2025年华州区下庙镇新建设施蔬菜大棚项目</w:t>
      </w:r>
    </w:p>
    <w:p w14:paraId="7C096E49">
      <w:pPr>
        <w:shd w:val="clear" w:color="auto" w:fill="auto"/>
        <w:spacing w:line="360" w:lineRule="auto"/>
        <w:jc w:val="center"/>
        <w:rPr>
          <w:rFonts w:hint="eastAsia" w:ascii="宋体" w:hAnsi="宋体" w:eastAsia="宋体" w:cs="宋体"/>
          <w:b/>
          <w:color w:val="auto"/>
          <w:sz w:val="28"/>
          <w:szCs w:val="24"/>
          <w:highlight w:val="red"/>
          <w:lang w:eastAsia="zh-CN"/>
        </w:rPr>
      </w:pPr>
      <w:r>
        <w:rPr>
          <w:rFonts w:hint="eastAsia" w:ascii="宋体" w:hAnsi="宋体" w:eastAsia="宋体" w:cs="宋体"/>
          <w:b/>
          <w:color w:val="auto"/>
          <w:sz w:val="28"/>
          <w:szCs w:val="24"/>
          <w:highlight w:val="none"/>
        </w:rPr>
        <w:t>合</w:t>
      </w:r>
      <w:r>
        <w:rPr>
          <w:rFonts w:hint="eastAsia" w:ascii="宋体" w:hAnsi="宋体" w:eastAsia="宋体" w:cs="宋体"/>
          <w:b/>
          <w:color w:val="auto"/>
          <w:sz w:val="28"/>
          <w:szCs w:val="24"/>
          <w:highlight w:val="none"/>
          <w:lang w:val="en-US" w:eastAsia="zh-CN"/>
        </w:rPr>
        <w:t xml:space="preserve">     </w:t>
      </w:r>
      <w:r>
        <w:rPr>
          <w:rFonts w:hint="eastAsia" w:ascii="宋体" w:hAnsi="宋体" w:eastAsia="宋体" w:cs="宋体"/>
          <w:b/>
          <w:color w:val="auto"/>
          <w:sz w:val="28"/>
          <w:szCs w:val="24"/>
          <w:highlight w:val="none"/>
        </w:rPr>
        <w:t>同</w:t>
      </w:r>
    </w:p>
    <w:p w14:paraId="70580099">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color w:val="000000"/>
          <w:sz w:val="24"/>
          <w:szCs w:val="24"/>
          <w:u w:val="single"/>
        </w:rPr>
      </w:pPr>
      <w:r>
        <w:rPr>
          <w:rFonts w:hint="eastAsia" w:ascii="宋体" w:hAnsi="宋体" w:eastAsia="宋体" w:cs="宋体"/>
          <w:b/>
          <w:bCs/>
          <w:color w:val="000000"/>
          <w:sz w:val="24"/>
          <w:szCs w:val="24"/>
          <w:lang w:val="en-US" w:eastAsia="zh-CN"/>
        </w:rPr>
        <w:t>甲方：</w:t>
      </w:r>
      <w:r>
        <w:rPr>
          <w:rFonts w:hint="eastAsia" w:ascii="宋体" w:hAnsi="宋体" w:eastAsia="宋体" w:cs="宋体"/>
          <w:color w:val="000000"/>
          <w:sz w:val="24"/>
          <w:szCs w:val="24"/>
          <w:u w:val="single"/>
        </w:rPr>
        <w:t xml:space="preserve">                               </w:t>
      </w:r>
    </w:p>
    <w:p w14:paraId="7A06B1F6">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乙方</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107871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根据《中华人民共和国民法典》、《中华人民共和国建筑法》及《建筑工程质量管理条例》的原则，结合本工程实际情况，为明确甲乙双方的权利、义务和经济责任，经双方洽商达成如下协议。</w:t>
      </w:r>
    </w:p>
    <w:p w14:paraId="75B85551">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lang w:val="zh-CN"/>
        </w:rPr>
      </w:pPr>
      <w:r>
        <w:rPr>
          <w:rFonts w:hint="eastAsia" w:ascii="宋体" w:hAnsi="宋体" w:eastAsia="宋体" w:cs="宋体"/>
          <w:b/>
          <w:bCs/>
          <w:color w:val="000000"/>
          <w:sz w:val="24"/>
          <w:szCs w:val="24"/>
        </w:rPr>
        <w:t>一、</w:t>
      </w:r>
      <w:r>
        <w:rPr>
          <w:rFonts w:hint="eastAsia" w:ascii="宋体" w:hAnsi="宋体" w:eastAsia="宋体" w:cs="宋体"/>
          <w:b/>
          <w:bCs/>
          <w:color w:val="000000"/>
          <w:sz w:val="24"/>
          <w:szCs w:val="24"/>
          <w:lang w:val="zh-CN"/>
        </w:rPr>
        <w:t>工程概况：</w:t>
      </w:r>
    </w:p>
    <w:p w14:paraId="5C2D686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zh-CN"/>
        </w:rPr>
        <w:t>1、工程地点：</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bookmarkStart w:id="0" w:name="_GoBack"/>
      <w:bookmarkEnd w:id="0"/>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D0284B7">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zh-CN"/>
        </w:rPr>
        <w:t>2、工程范围及规模：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4D1C9C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3、工程工期：</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日历天。</w:t>
      </w:r>
    </w:p>
    <w:p w14:paraId="2EEC23B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开工日期：</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 xml:space="preserve"> ；完工日期：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none"/>
          <w:lang w:eastAsia="zh-CN"/>
        </w:rPr>
        <w:t>。</w:t>
      </w:r>
    </w:p>
    <w:p w14:paraId="7A6CEFC6">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二、</w:t>
      </w:r>
      <w:r>
        <w:rPr>
          <w:rFonts w:hint="eastAsia" w:ascii="宋体" w:hAnsi="宋体" w:eastAsia="宋体" w:cs="宋体"/>
          <w:b/>
          <w:bCs/>
          <w:color w:val="000000"/>
          <w:sz w:val="24"/>
          <w:szCs w:val="24"/>
          <w:lang w:eastAsia="zh-CN"/>
        </w:rPr>
        <w:t>中标</w:t>
      </w:r>
      <w:r>
        <w:rPr>
          <w:rFonts w:hint="eastAsia" w:ascii="宋体" w:hAnsi="宋体" w:eastAsia="宋体" w:cs="宋体"/>
          <w:b/>
          <w:bCs/>
          <w:color w:val="000000"/>
          <w:sz w:val="24"/>
          <w:szCs w:val="24"/>
          <w:lang w:val="en-US" w:eastAsia="zh-CN"/>
        </w:rPr>
        <w:t>形</w:t>
      </w:r>
      <w:r>
        <w:rPr>
          <w:rFonts w:hint="eastAsia" w:ascii="宋体" w:hAnsi="宋体" w:eastAsia="宋体" w:cs="宋体"/>
          <w:b/>
          <w:bCs/>
          <w:color w:val="000000"/>
          <w:sz w:val="24"/>
          <w:szCs w:val="24"/>
        </w:rPr>
        <w:t>式及材料供应方式：</w:t>
      </w:r>
    </w:p>
    <w:p w14:paraId="71C02F9B">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eastAsia="zh-CN"/>
        </w:rPr>
      </w:pPr>
      <w:r>
        <w:rPr>
          <w:rFonts w:hint="eastAsia" w:ascii="宋体" w:hAnsi="宋体" w:eastAsia="宋体" w:cs="宋体"/>
          <w:color w:val="000000"/>
          <w:sz w:val="24"/>
          <w:szCs w:val="24"/>
          <w:lang w:val="zh-CN"/>
        </w:rPr>
        <w:t>（一）中标</w:t>
      </w:r>
      <w:r>
        <w:rPr>
          <w:rFonts w:hint="eastAsia" w:ascii="宋体" w:hAnsi="宋体" w:eastAsia="宋体" w:cs="宋体"/>
          <w:color w:val="000000"/>
          <w:sz w:val="24"/>
          <w:szCs w:val="24"/>
          <w:lang w:val="en-US" w:eastAsia="zh-CN"/>
        </w:rPr>
        <w:t>形</w:t>
      </w:r>
      <w:r>
        <w:rPr>
          <w:rFonts w:hint="eastAsia" w:ascii="宋体" w:hAnsi="宋体" w:eastAsia="宋体" w:cs="宋体"/>
          <w:color w:val="000000"/>
          <w:sz w:val="24"/>
          <w:szCs w:val="24"/>
          <w:lang w:val="zh-CN"/>
        </w:rPr>
        <w:t>式：</w:t>
      </w:r>
      <w:r>
        <w:rPr>
          <w:rFonts w:hint="eastAsia" w:ascii="宋体" w:hAnsi="宋体" w:eastAsia="宋体" w:cs="宋体"/>
          <w:color w:val="000000"/>
          <w:sz w:val="24"/>
          <w:szCs w:val="24"/>
          <w:lang w:val="zh-CN" w:eastAsia="zh-CN"/>
        </w:rPr>
        <w:t>包工、包料、包机械、包工期、包质量、包施工措施、包安全、包文明施工、包工程验收等与之相关的所有工作。</w:t>
      </w:r>
    </w:p>
    <w:p w14:paraId="2F08534D">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（二）材料供应方式：本工程所需材料由乙方采购的，所有进场材料必须符合产品质量及规范要求，并按规定进行材料复验，并能满足工程项目要求及有关行业特殊使用要求。</w:t>
      </w:r>
    </w:p>
    <w:p w14:paraId="3A79CCB0">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（三）所有材料，成品，半成品均应有产品合格证及检验报告，须经现场甲方代表检查验收，报验合格方可进场，无质量证明文件的产品不得用于本项目工程。</w:t>
      </w:r>
    </w:p>
    <w:p w14:paraId="61DF4A3C">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三、合同价款</w:t>
      </w:r>
    </w:p>
    <w:p w14:paraId="5BDF9630">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本工程暂定总造价（含税价）</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元，人民币大写：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整，</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其中暂列金</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none"/>
          <w:lang w:val="en-US" w:eastAsia="zh-CN"/>
        </w:rPr>
        <w:t>元</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增值税税率按照</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执行。（合同总价具体内容见附件</w:t>
      </w:r>
      <w:r>
        <w:rPr>
          <w:rFonts w:hint="eastAsia" w:ascii="宋体" w:hAnsi="宋体" w:eastAsia="宋体" w:cs="宋体"/>
          <w:color w:val="000000"/>
          <w:sz w:val="24"/>
          <w:szCs w:val="24"/>
          <w:lang w:val="en-US" w:eastAsia="zh-CN"/>
        </w:rPr>
        <w:t>一</w:t>
      </w:r>
      <w:r>
        <w:rPr>
          <w:rFonts w:hint="eastAsia" w:ascii="宋体" w:hAnsi="宋体" w:eastAsia="宋体" w:cs="宋体"/>
          <w:color w:val="000000"/>
          <w:sz w:val="24"/>
          <w:szCs w:val="24"/>
        </w:rPr>
        <w:t>《已标价工程量清单》所附投标报价</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w:t>
      </w:r>
    </w:p>
    <w:p w14:paraId="0C6544CE">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jc w:val="left"/>
        <w:textAlignment w:val="auto"/>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（二）</w:t>
      </w:r>
      <w:r>
        <w:rPr>
          <w:rFonts w:hint="eastAsia" w:ascii="Times New Roman" w:hAnsi="Times New Roman" w:eastAsia="宋体" w:cs="Times New Roman"/>
          <w:sz w:val="24"/>
          <w:szCs w:val="24"/>
          <w:highlight w:val="none"/>
          <w:lang w:eastAsia="zh-CN"/>
        </w:rPr>
        <w:t>本合同采用</w:t>
      </w:r>
      <w:r>
        <w:rPr>
          <w:rFonts w:hint="eastAsia" w:ascii="Times New Roman" w:hAnsi="Times New Roman" w:eastAsia="宋体" w:cs="Times New Roman"/>
          <w:sz w:val="24"/>
          <w:szCs w:val="24"/>
          <w:highlight w:val="none"/>
          <w:u w:val="single"/>
          <w:lang w:val="en-US" w:eastAsia="zh-CN"/>
        </w:rPr>
        <w:t xml:space="preserve">  固定综合单</w:t>
      </w:r>
      <w:r>
        <w:rPr>
          <w:rFonts w:hint="eastAsia" w:ascii="Times New Roman" w:hAnsi="Times New Roman" w:eastAsia="宋体" w:cs="Times New Roman"/>
          <w:sz w:val="24"/>
          <w:szCs w:val="24"/>
          <w:highlight w:val="none"/>
          <w:u w:val="single"/>
          <w:lang w:eastAsia="zh-CN"/>
        </w:rPr>
        <w:t>价</w:t>
      </w:r>
      <w:r>
        <w:rPr>
          <w:rFonts w:hint="eastAsia" w:ascii="Times New Roman" w:hAnsi="Times New Roman" w:eastAsia="宋体" w:cs="Times New Roman"/>
          <w:sz w:val="24"/>
          <w:szCs w:val="24"/>
          <w:highlight w:val="none"/>
          <w:u w:val="single"/>
          <w:lang w:val="en-US" w:eastAsia="zh-CN"/>
        </w:rPr>
        <w:t xml:space="preserve">  </w:t>
      </w:r>
      <w:r>
        <w:rPr>
          <w:rFonts w:hint="eastAsia" w:ascii="Times New Roman" w:hAnsi="Times New Roman" w:eastAsia="宋体" w:cs="Times New Roman"/>
          <w:sz w:val="24"/>
          <w:szCs w:val="24"/>
          <w:highlight w:val="none"/>
          <w:u w:val="none"/>
          <w:lang w:eastAsia="zh-CN"/>
        </w:rPr>
        <w:t>合同</w:t>
      </w:r>
      <w:r>
        <w:rPr>
          <w:rFonts w:hint="eastAsia" w:ascii="Times New Roman" w:hAnsi="Times New Roman" w:eastAsia="宋体" w:cs="Times New Roman"/>
          <w:sz w:val="24"/>
          <w:szCs w:val="24"/>
          <w:highlight w:val="none"/>
          <w:lang w:eastAsia="zh-CN"/>
        </w:rPr>
        <w:t>形式，</w:t>
      </w:r>
      <w:r>
        <w:rPr>
          <w:rFonts w:hint="eastAsia" w:ascii="Times New Roman" w:hAnsi="Times New Roman" w:eastAsia="宋体" w:cs="Times New Roman"/>
          <w:sz w:val="24"/>
          <w:szCs w:val="24"/>
          <w:highlight w:val="none"/>
          <w:lang w:val="en-US" w:eastAsia="zh-CN"/>
        </w:rPr>
        <w:t>综合单价中已经包含承包内容中的全部费用，最终按照实际工程发生量进行结算。</w:t>
      </w:r>
    </w:p>
    <w:p w14:paraId="3F606119">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jc w:val="left"/>
        <w:textAlignment w:val="auto"/>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三）若实际施工工程量发生变化或甲方原因引起变更的，则以投标报价及相关取费为基础进行调整，调整部分适用的定额及费用文件规定：首先依据投标文件，但不得高于投标期的定额及费用文件规定；如投标文件中没有可依的定额及费用文件的，则可适用于相应工程类别的投标期的定额及费用文件。调整部分中涉及承包商自购设备材料的，其价格在项目实施地区有发布价格的，执行该价格；项目实施地区没有发布价格，则执行甲方项目管理部门审批价格。</w:t>
      </w:r>
    </w:p>
    <w:p w14:paraId="0D0DF793">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四</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本项目暂列金金额：</w:t>
      </w:r>
      <w:r>
        <w:rPr>
          <w:rFonts w:hint="eastAsia" w:ascii="宋体" w:hAnsi="宋体" w:eastAsia="宋体" w:cs="宋体"/>
          <w:b w:val="0"/>
          <w:bCs w:val="0"/>
          <w:color w:val="000000"/>
          <w:sz w:val="24"/>
          <w:szCs w:val="24"/>
          <w:highlight w:val="none"/>
          <w:u w:val="single"/>
          <w:lang w:val="en-US" w:eastAsia="zh-CN"/>
        </w:rPr>
        <w:t xml:space="preserve">        </w:t>
      </w:r>
      <w:r>
        <w:rPr>
          <w:rFonts w:hint="eastAsia" w:ascii="宋体" w:hAnsi="宋体" w:eastAsia="宋体" w:cs="宋体"/>
          <w:b w:val="0"/>
          <w:bCs w:val="0"/>
          <w:color w:val="000000"/>
          <w:sz w:val="24"/>
          <w:szCs w:val="24"/>
          <w:highlight w:val="none"/>
          <w:u w:val="none"/>
          <w:lang w:val="en-US" w:eastAsia="zh-CN"/>
        </w:rPr>
        <w:t>，</w:t>
      </w:r>
      <w:r>
        <w:rPr>
          <w:rFonts w:hint="eastAsia" w:ascii="Times New Roman" w:hAnsi="Times New Roman" w:eastAsia="宋体" w:cs="Times New Roman"/>
          <w:sz w:val="24"/>
          <w:szCs w:val="24"/>
          <w:highlight w:val="none"/>
          <w:lang w:val="en-US" w:eastAsia="zh-CN"/>
        </w:rPr>
        <w:t>暂列金额是甲方暂定并包括在合同中的一笔款项，是因应建设过程中诸多不确定性因素等这类不可避免的价格调整而设立，暂列金包含在合同总造价中，不因列入合同价格而视为中标人所有。工程结算时扣除实际发生金额后的暂列金额余额仍属于发包人所有。</w:t>
      </w:r>
    </w:p>
    <w:p w14:paraId="3F2B2213">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四、付款方式</w:t>
      </w:r>
    </w:p>
    <w:p w14:paraId="3B92930C">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（一）工程款支付：</w:t>
      </w:r>
    </w:p>
    <w:p w14:paraId="69F231D3">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u w:val="single"/>
          <w:lang w:val="en-US" w:eastAsia="zh-CN"/>
        </w:rPr>
        <w:t xml:space="preserve">                                                             </w:t>
      </w:r>
    </w:p>
    <w:p w14:paraId="7CB86F73">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（二）结算方式：银行转账。</w:t>
      </w:r>
    </w:p>
    <w:p w14:paraId="15A68E8C">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（三）付款方式：乙方在接受付款前，开具相应额度发票给甲方。</w:t>
      </w:r>
    </w:p>
    <w:p w14:paraId="1BE4A5C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2" w:firstLineChars="196"/>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五、质量保证</w:t>
      </w:r>
    </w:p>
    <w:p w14:paraId="14E3C16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（一）所选材料及配套产品必须保证质量可靠、进货渠道正常，符合国家环保等相关标准，满足施工要求。</w:t>
      </w:r>
    </w:p>
    <w:p w14:paraId="540DA30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（二）工程质量符合国家有关规范，确保达到合格。</w:t>
      </w:r>
    </w:p>
    <w:p w14:paraId="5913DF9F">
      <w:pPr>
        <w:keepNext w:val="0"/>
        <w:keepLines w:val="0"/>
        <w:pageBreakBefore w:val="0"/>
        <w:widowControl w:val="0"/>
        <w:shd w:val="clear" w:color="auto" w:fill="auto"/>
        <w:kinsoku/>
        <w:wordWrap/>
        <w:overflowPunct/>
        <w:topLinePunct w:val="0"/>
        <w:bidi w:val="0"/>
        <w:adjustRightInd w:val="0"/>
        <w:snapToGrid w:val="0"/>
        <w:spacing w:line="360" w:lineRule="auto"/>
        <w:ind w:firstLine="600" w:firstLineChars="249"/>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六、双方责任</w:t>
      </w:r>
    </w:p>
    <w:p w14:paraId="73035BB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（一）甲方责任：</w:t>
      </w:r>
    </w:p>
    <w:p w14:paraId="2CA1676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1、甲方负责施工场地的提供，排除施工障碍的协调。</w:t>
      </w:r>
    </w:p>
    <w:p w14:paraId="6E65A11E">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2</w:t>
      </w:r>
      <w:r>
        <w:rPr>
          <w:rFonts w:hint="eastAsia" w:ascii="宋体" w:hAnsi="宋体" w:eastAsia="宋体" w:cs="宋体"/>
          <w:sz w:val="24"/>
          <w:szCs w:val="24"/>
          <w:lang w:val="zh-CN"/>
        </w:rPr>
        <w:t>、对工程进度、质量进行监督检查。</w:t>
      </w:r>
    </w:p>
    <w:p w14:paraId="041688D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rPr>
        <w:t>、组织有关单位对工程进行竣工验收。</w:t>
      </w:r>
    </w:p>
    <w:p w14:paraId="6B34B9F5">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4</w:t>
      </w:r>
      <w:r>
        <w:rPr>
          <w:rFonts w:hint="eastAsia" w:ascii="宋体" w:hAnsi="宋体" w:eastAsia="宋体" w:cs="宋体"/>
          <w:sz w:val="24"/>
          <w:szCs w:val="24"/>
          <w:lang w:val="zh-CN"/>
        </w:rPr>
        <w:t>、按时支付工程款。</w:t>
      </w:r>
    </w:p>
    <w:p w14:paraId="6C4311B8">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（二）乙方责任：</w:t>
      </w:r>
    </w:p>
    <w:p w14:paraId="50BDE752">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1、负责办理完成项目使用审批手续，负责工程安全文明施工、承担一切风险，满足甲方工程的需要。保证甲方正式投入使用，再无其他费用发生。</w:t>
      </w:r>
    </w:p>
    <w:p w14:paraId="29BE1EDC">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乙方进入甲方要求场地施工，应服从当地对治安、卫生、环保、社会保险等工程建设的统一管理，并按有关规定缴纳费用以及因违反相关规定而造成的罚款。乙方按照国家和当地政府有关规定应采取的任何必要安全防护措施已包含在乙方的合同价款当中，甲方不另行支付。竣工后甲方委托乙方办理项目手续的相关资料等，以备留档。</w:t>
      </w:r>
    </w:p>
    <w:p w14:paraId="3C3FF94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3、乙方提供的主要材料、设备必须有质量合格证等相关证件方可用于工程，对材料改变或代用必须经</w:t>
      </w:r>
      <w:r>
        <w:rPr>
          <w:rFonts w:hint="eastAsia" w:ascii="宋体" w:hAnsi="宋体" w:eastAsia="宋体" w:cs="宋体"/>
          <w:color w:val="000000"/>
          <w:sz w:val="24"/>
          <w:szCs w:val="24"/>
          <w:lang w:val="en-US" w:eastAsia="zh-CN"/>
        </w:rPr>
        <w:t>采购</w:t>
      </w:r>
      <w:r>
        <w:rPr>
          <w:rFonts w:hint="eastAsia" w:ascii="宋体" w:hAnsi="宋体" w:eastAsia="宋体" w:cs="宋体"/>
          <w:color w:val="000000"/>
          <w:sz w:val="24"/>
          <w:szCs w:val="24"/>
        </w:rPr>
        <w:t>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01DE358">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4、隐蔽工程在覆盖前必须经甲方代表验收签章后，方可进行下一道工序。</w:t>
      </w:r>
    </w:p>
    <w:p w14:paraId="68D6BC96">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0EE1194A">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6、采取有效的安全保障措施，确保施工安全，包括悬挂警示标牌、装设围栏、配备安全人员等，并承担事故的全部费用和责任。</w:t>
      </w:r>
    </w:p>
    <w:p w14:paraId="1AE80A08">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7、工程竣工后提供竣工验收技术资料</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套</w:t>
      </w:r>
      <w:r>
        <w:rPr>
          <w:rFonts w:hint="eastAsia" w:ascii="宋体" w:hAnsi="宋体" w:eastAsia="宋体" w:cs="宋体"/>
          <w:color w:val="000000"/>
          <w:sz w:val="24"/>
          <w:szCs w:val="24"/>
        </w:rPr>
        <w:t>，办理工程竣工结算手续，参加工程竣工验收。</w:t>
      </w:r>
    </w:p>
    <w:p w14:paraId="689DA1C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8、已完工的项目，在交工前乙方应负责保管，清理现场达到建筑物无污染，现场无建筑垃圾。</w:t>
      </w:r>
    </w:p>
    <w:p w14:paraId="0927B831">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9、乙方不能按合同规定的工期竣工的，应向甲方支付违约金，每逾期一日，支付合同总价款万分之二的违约金，造成甲方损失的，还应赔偿甲方损失。</w:t>
      </w:r>
    </w:p>
    <w:p w14:paraId="59B4FA36">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2" w:firstLineChars="196"/>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en-US" w:eastAsia="zh-CN"/>
        </w:rPr>
        <w:t>七</w:t>
      </w:r>
      <w:r>
        <w:rPr>
          <w:rFonts w:hint="eastAsia" w:ascii="宋体" w:hAnsi="宋体" w:eastAsia="宋体" w:cs="宋体"/>
          <w:b/>
          <w:bCs/>
          <w:sz w:val="24"/>
          <w:szCs w:val="24"/>
          <w:lang w:val="zh-CN"/>
        </w:rPr>
        <w:t>、验收</w:t>
      </w:r>
    </w:p>
    <w:p w14:paraId="71BACC54">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（一）</w:t>
      </w:r>
      <w:r>
        <w:rPr>
          <w:rFonts w:hint="eastAsia" w:ascii="宋体" w:hAnsi="宋体" w:eastAsia="宋体" w:cs="宋体"/>
          <w:sz w:val="24"/>
          <w:szCs w:val="24"/>
          <w:lang w:val="zh-CN"/>
        </w:rPr>
        <w:t>主材到现场后，由甲方对其进行验收，确认材料的产地、规格、数量。</w:t>
      </w:r>
    </w:p>
    <w:p w14:paraId="1A129457">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（二）</w:t>
      </w:r>
      <w:r>
        <w:rPr>
          <w:rFonts w:hint="eastAsia" w:ascii="宋体" w:hAnsi="宋体" w:eastAsia="宋体" w:cs="宋体"/>
          <w:sz w:val="24"/>
          <w:szCs w:val="24"/>
          <w:lang w:val="zh-CN"/>
        </w:rPr>
        <w:t>乙方工程完工后，进行自检，合格后准备验收文件，并书面通知甲方。</w:t>
      </w:r>
    </w:p>
    <w:p w14:paraId="275BA773">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（三）</w:t>
      </w:r>
      <w:r>
        <w:rPr>
          <w:rFonts w:hint="eastAsia" w:ascii="宋体" w:hAnsi="宋体" w:eastAsia="宋体" w:cs="宋体"/>
          <w:sz w:val="24"/>
          <w:szCs w:val="24"/>
          <w:lang w:val="zh-CN"/>
        </w:rPr>
        <w:t>甲方确认乙方的自检内容，验收合格作为工程的最终认可。</w:t>
      </w:r>
    </w:p>
    <w:p w14:paraId="566DBC54">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color w:val="000000"/>
          <w:sz w:val="24"/>
          <w:szCs w:val="24"/>
        </w:rPr>
        <w:t>（四）</w:t>
      </w:r>
      <w:r>
        <w:rPr>
          <w:rFonts w:hint="eastAsia" w:ascii="宋体" w:hAnsi="宋体" w:eastAsia="宋体" w:cs="宋体"/>
          <w:sz w:val="24"/>
          <w:szCs w:val="24"/>
          <w:lang w:val="zh-CN"/>
        </w:rPr>
        <w:t>验收依据：</w:t>
      </w:r>
    </w:p>
    <w:p w14:paraId="35C48B26">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1、合同、</w:t>
      </w:r>
      <w:r>
        <w:rPr>
          <w:rFonts w:hint="eastAsia" w:ascii="宋体" w:hAnsi="宋体" w:eastAsia="宋体" w:cs="宋体"/>
          <w:sz w:val="24"/>
          <w:szCs w:val="24"/>
          <w:lang w:val="en-US" w:eastAsia="zh-CN"/>
        </w:rPr>
        <w:t>招标文件</w:t>
      </w:r>
      <w:r>
        <w:rPr>
          <w:rFonts w:hint="eastAsia" w:ascii="宋体" w:hAnsi="宋体" w:eastAsia="宋体" w:cs="宋体"/>
          <w:sz w:val="24"/>
          <w:szCs w:val="24"/>
          <w:lang w:val="zh-CN"/>
        </w:rPr>
        <w:t>、</w:t>
      </w:r>
      <w:r>
        <w:rPr>
          <w:rFonts w:hint="eastAsia" w:ascii="宋体" w:hAnsi="宋体" w:eastAsia="宋体" w:cs="宋体"/>
          <w:sz w:val="24"/>
          <w:szCs w:val="24"/>
        </w:rPr>
        <w:t>响应</w:t>
      </w:r>
      <w:r>
        <w:rPr>
          <w:rFonts w:hint="eastAsia" w:ascii="宋体" w:hAnsi="宋体" w:eastAsia="宋体" w:cs="宋体"/>
          <w:sz w:val="24"/>
          <w:szCs w:val="24"/>
          <w:lang w:val="zh-CN"/>
        </w:rPr>
        <w:t>文件及承诺。</w:t>
      </w:r>
    </w:p>
    <w:p w14:paraId="5FF04DBA">
      <w:pPr>
        <w:keepNext w:val="0"/>
        <w:keepLines w:val="0"/>
        <w:pageBreakBefore w:val="0"/>
        <w:widowControl w:val="0"/>
        <w:shd w:val="clear" w:color="auto" w:fill="auto"/>
        <w:kinsoku/>
        <w:wordWrap/>
        <w:overflowPunct/>
        <w:topLinePunct w:val="0"/>
        <w:autoSpaceDE w:val="0"/>
        <w:autoSpaceDN w:val="0"/>
        <w:bidi w:val="0"/>
        <w:adjustRightInd w:val="0"/>
        <w:snapToGrid w:val="0"/>
        <w:spacing w:line="360" w:lineRule="auto"/>
        <w:ind w:firstLine="470" w:firstLineChars="196"/>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2、国家相关</w:t>
      </w:r>
      <w:r>
        <w:rPr>
          <w:rFonts w:hint="eastAsia" w:ascii="宋体" w:hAnsi="宋体" w:eastAsia="宋体" w:cs="宋体"/>
          <w:sz w:val="24"/>
          <w:szCs w:val="24"/>
        </w:rPr>
        <w:t>标准、规范及有关技术文件</w:t>
      </w:r>
      <w:r>
        <w:rPr>
          <w:rFonts w:hint="eastAsia" w:ascii="宋体" w:hAnsi="宋体" w:eastAsia="宋体" w:cs="宋体"/>
          <w:sz w:val="24"/>
          <w:szCs w:val="24"/>
          <w:lang w:val="zh-CN"/>
        </w:rPr>
        <w:t>。</w:t>
      </w:r>
    </w:p>
    <w:p w14:paraId="37CEE72F">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八</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rPr>
        <w:t>工程保修</w:t>
      </w:r>
    </w:p>
    <w:p w14:paraId="5737FA6F">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本项目保修期</w:t>
      </w:r>
      <w:r>
        <w:rPr>
          <w:rFonts w:hint="eastAsia" w:ascii="宋体" w:hAnsi="宋体" w:eastAsia="宋体" w:cs="宋体"/>
          <w:sz w:val="24"/>
          <w:szCs w:val="24"/>
          <w:lang w:val="zh-CN"/>
        </w:rPr>
        <w:t>根据《建设工程质量管理条例》及有关规定执行。</w:t>
      </w:r>
      <w:r>
        <w:rPr>
          <w:rFonts w:hint="eastAsia" w:ascii="宋体" w:hAnsi="宋体" w:eastAsia="宋体" w:cs="宋体"/>
          <w:color w:val="000000"/>
          <w:sz w:val="24"/>
          <w:szCs w:val="24"/>
        </w:rPr>
        <w:t>在保修期限内，对甲方提出的有关维修、维护要求，乙方应在24小时内予以解决。乙方未能按时予以维修、维护的，甲方可另行委托第三方进行，因此给甲方造成损失的，乙方须给予赔偿。</w:t>
      </w:r>
    </w:p>
    <w:p w14:paraId="4206272D">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九</w:t>
      </w:r>
      <w:r>
        <w:rPr>
          <w:rFonts w:hint="eastAsia" w:ascii="宋体" w:hAnsi="宋体" w:eastAsia="宋体" w:cs="宋体"/>
          <w:b/>
          <w:bCs/>
          <w:color w:val="000000"/>
          <w:sz w:val="24"/>
          <w:szCs w:val="24"/>
        </w:rPr>
        <w:t>、争议的解决方式</w:t>
      </w:r>
    </w:p>
    <w:p w14:paraId="57AB3302">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合同执行过程中如发生争议，双方应及时协商解决，协商不成，双方均可向项目所在地人民法院起诉。</w:t>
      </w:r>
    </w:p>
    <w:p w14:paraId="0E3EEEF7">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十、其他</w:t>
      </w:r>
    </w:p>
    <w:p w14:paraId="7DAFEAD7">
      <w:pPr>
        <w:keepNext w:val="0"/>
        <w:keepLines w:val="0"/>
        <w:pageBreakBefore w:val="0"/>
        <w:widowControl w:val="0"/>
        <w:shd w:val="clear" w:color="auto" w:fill="auto"/>
        <w:kinsoku/>
        <w:wordWrap/>
        <w:overflowPunct/>
        <w:topLinePunct w:val="0"/>
        <w:bidi w:val="0"/>
        <w:adjustRightInd w:val="0"/>
        <w:snapToGrid w:val="0"/>
        <w:spacing w:line="360" w:lineRule="auto"/>
        <w:ind w:firstLine="660"/>
        <w:textAlignment w:val="auto"/>
        <w:rPr>
          <w:rFonts w:hint="eastAsia" w:ascii="宋体" w:hAnsi="宋体" w:eastAsia="宋体" w:cs="宋体"/>
          <w:color w:val="auto"/>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一)实际签订合同时，以《建设工程施工合同（示范文本）》（GF</w:t>
      </w:r>
      <w:r>
        <w:rPr>
          <w:rFonts w:hint="eastAsia" w:ascii="宋体" w:hAnsi="宋体" w:cs="宋体"/>
          <w:sz w:val="24"/>
          <w:szCs w:val="24"/>
          <w:lang w:val="en-US" w:eastAsia="zh-CN"/>
        </w:rPr>
        <w:t>-</w:t>
      </w:r>
      <w:r>
        <w:rPr>
          <w:rFonts w:hint="eastAsia" w:ascii="宋体" w:hAnsi="宋体" w:eastAsia="宋体" w:cs="宋体"/>
          <w:sz w:val="24"/>
          <w:szCs w:val="24"/>
        </w:rPr>
        <w:t>2017</w:t>
      </w:r>
      <w:r>
        <w:rPr>
          <w:rFonts w:hint="eastAsia" w:ascii="宋体" w:hAnsi="宋体" w:cs="宋体"/>
          <w:sz w:val="24"/>
          <w:szCs w:val="24"/>
          <w:lang w:val="en-US" w:eastAsia="zh-CN"/>
        </w:rPr>
        <w:t>-</w:t>
      </w:r>
      <w:r>
        <w:rPr>
          <w:rFonts w:hint="eastAsia" w:ascii="宋体" w:hAnsi="宋体" w:eastAsia="宋体" w:cs="宋体"/>
          <w:sz w:val="24"/>
          <w:szCs w:val="24"/>
        </w:rPr>
        <w:t>0201）为基础，按采购监管部门相关要求确定施工承包合同最终文本和格式</w:t>
      </w:r>
      <w:r>
        <w:rPr>
          <w:rFonts w:hint="eastAsia" w:ascii="宋体" w:hAnsi="宋体" w:eastAsia="宋体" w:cs="宋体"/>
          <w:color w:val="auto"/>
          <w:sz w:val="24"/>
          <w:szCs w:val="24"/>
        </w:rPr>
        <w:t>；其实质条款和内容须与本项目</w:t>
      </w:r>
      <w:r>
        <w:rPr>
          <w:rFonts w:hint="eastAsia" w:ascii="宋体" w:hAnsi="宋体" w:eastAsia="宋体" w:cs="宋体"/>
          <w:color w:val="auto"/>
          <w:sz w:val="24"/>
          <w:szCs w:val="24"/>
          <w:lang w:val="en-US" w:eastAsia="zh-CN"/>
        </w:rPr>
        <w:t>招标文件、投标文件</w:t>
      </w:r>
      <w:r>
        <w:rPr>
          <w:rFonts w:hint="eastAsia" w:ascii="宋体" w:hAnsi="宋体" w:eastAsia="宋体" w:cs="宋体"/>
          <w:color w:val="auto"/>
          <w:sz w:val="24"/>
          <w:szCs w:val="24"/>
        </w:rPr>
        <w:t>一致。</w:t>
      </w:r>
    </w:p>
    <w:p w14:paraId="19253CC6">
      <w:pPr>
        <w:keepNext w:val="0"/>
        <w:keepLines w:val="0"/>
        <w:pageBreakBefore w:val="0"/>
        <w:widowControl w:val="0"/>
        <w:shd w:val="clear" w:color="auto" w:fill="auto"/>
        <w:kinsoku/>
        <w:wordWrap/>
        <w:overflowPunct/>
        <w:topLinePunct w:val="0"/>
        <w:bidi w:val="0"/>
        <w:adjustRightInd w:val="0"/>
        <w:snapToGrid w:val="0"/>
        <w:spacing w:line="360" w:lineRule="auto"/>
        <w:ind w:firstLine="660"/>
        <w:textAlignment w:val="auto"/>
        <w:rPr>
          <w:rFonts w:hint="eastAsia" w:ascii="宋体" w:hAnsi="宋体" w:eastAsia="宋体" w:cs="宋体"/>
          <w:sz w:val="24"/>
          <w:szCs w:val="24"/>
        </w:rPr>
      </w:pPr>
      <w:r>
        <w:rPr>
          <w:rFonts w:hint="eastAsia" w:ascii="宋体" w:hAnsi="宋体" w:eastAsia="宋体" w:cs="宋体"/>
          <w:sz w:val="24"/>
          <w:szCs w:val="24"/>
        </w:rPr>
        <w:t>(二)本合同未定事宜，双方可根据具体情况结合有关规定另行签订补充协议，补充协议与本合同具有同等法律效力。</w:t>
      </w:r>
    </w:p>
    <w:p w14:paraId="79CA35BE">
      <w:pPr>
        <w:keepNext w:val="0"/>
        <w:keepLines w:val="0"/>
        <w:pageBreakBefore w:val="0"/>
        <w:widowControl w:val="0"/>
        <w:shd w:val="clear" w:color="auto" w:fill="auto"/>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十</w:t>
      </w:r>
      <w:r>
        <w:rPr>
          <w:rFonts w:hint="eastAsia" w:ascii="宋体" w:hAnsi="宋体" w:eastAsia="宋体" w:cs="宋体"/>
          <w:b/>
          <w:bCs/>
          <w:color w:val="000000"/>
          <w:sz w:val="24"/>
          <w:szCs w:val="24"/>
          <w:lang w:val="en-US" w:eastAsia="zh-CN"/>
        </w:rPr>
        <w:t>一</w:t>
      </w:r>
      <w:r>
        <w:rPr>
          <w:rFonts w:hint="eastAsia" w:ascii="宋体" w:hAnsi="宋体" w:eastAsia="宋体" w:cs="宋体"/>
          <w:b/>
          <w:bCs/>
          <w:color w:val="000000"/>
          <w:sz w:val="24"/>
          <w:szCs w:val="24"/>
        </w:rPr>
        <w:t>、附则</w:t>
      </w:r>
    </w:p>
    <w:p w14:paraId="1BD1E66B">
      <w:pPr>
        <w:keepNext w:val="0"/>
        <w:keepLines w:val="0"/>
        <w:pageBreakBefore w:val="0"/>
        <w:widowControl w:val="0"/>
        <w:shd w:val="clear" w:color="auto" w:fill="auto"/>
        <w:tabs>
          <w:tab w:val="left" w:pos="0"/>
        </w:tabs>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（一）本合同一式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份，正本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份，甲、乙方各执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份，副本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份，甲方执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份，乙方执</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w:t>
      </w:r>
    </w:p>
    <w:p w14:paraId="6D9048D6">
      <w:pPr>
        <w:keepNext w:val="0"/>
        <w:keepLines w:val="0"/>
        <w:pageBreakBefore w:val="0"/>
        <w:widowControl w:val="0"/>
        <w:shd w:val="clear" w:color="auto" w:fill="auto"/>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rPr>
        <w:t>（二）合同经双方盖章后生效，各条款执行完毕后终止。</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1F8D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32011F00">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rPr>
              <w:t>甲方(盖章)</w:t>
            </w:r>
          </w:p>
        </w:tc>
        <w:tc>
          <w:tcPr>
            <w:tcW w:w="2500" w:type="pct"/>
            <w:tcBorders>
              <w:top w:val="nil"/>
              <w:left w:val="nil"/>
              <w:bottom w:val="nil"/>
              <w:right w:val="nil"/>
            </w:tcBorders>
            <w:noWrap w:val="0"/>
            <w:vAlign w:val="center"/>
          </w:tcPr>
          <w:p w14:paraId="02D665B1">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(盖章)</w:t>
            </w:r>
          </w:p>
        </w:tc>
      </w:tr>
      <w:tr w14:paraId="6F530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47497C2A">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法人代表</w:t>
            </w:r>
            <w:r>
              <w:rPr>
                <w:rFonts w:hint="eastAsia" w:ascii="宋体" w:hAnsi="宋体" w:eastAsia="宋体" w:cs="宋体"/>
                <w:color w:val="auto"/>
                <w:kern w:val="0"/>
                <w:sz w:val="24"/>
                <w:szCs w:val="24"/>
                <w:lang w:val="en-US" w:eastAsia="zh-CN"/>
              </w:rPr>
              <w:t>或</w:t>
            </w:r>
          </w:p>
          <w:p w14:paraId="4EEA341B">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lang w:val="en-US" w:eastAsia="zh-CN"/>
              </w:rPr>
              <w:t>委托代理人</w:t>
            </w:r>
            <w:r>
              <w:rPr>
                <w:rFonts w:hint="eastAsia" w:ascii="宋体" w:hAnsi="宋体" w:eastAsia="宋体" w:cs="宋体"/>
                <w:color w:val="auto"/>
                <w:kern w:val="0"/>
                <w:sz w:val="24"/>
                <w:szCs w:val="24"/>
              </w:rPr>
              <w:t xml:space="preserve">(签字)   </w:t>
            </w:r>
          </w:p>
        </w:tc>
        <w:tc>
          <w:tcPr>
            <w:tcW w:w="2500" w:type="pct"/>
            <w:tcBorders>
              <w:top w:val="nil"/>
              <w:left w:val="nil"/>
              <w:bottom w:val="nil"/>
              <w:right w:val="nil"/>
            </w:tcBorders>
            <w:noWrap w:val="0"/>
            <w:vAlign w:val="center"/>
          </w:tcPr>
          <w:p w14:paraId="2367A88C">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法人代表</w:t>
            </w:r>
            <w:r>
              <w:rPr>
                <w:rFonts w:hint="eastAsia" w:ascii="宋体" w:hAnsi="宋体" w:eastAsia="宋体" w:cs="宋体"/>
                <w:color w:val="auto"/>
                <w:kern w:val="0"/>
                <w:sz w:val="24"/>
                <w:szCs w:val="24"/>
                <w:lang w:val="en-US" w:eastAsia="zh-CN"/>
              </w:rPr>
              <w:t>或</w:t>
            </w:r>
          </w:p>
          <w:p w14:paraId="3C91C885">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lang w:val="en-US" w:eastAsia="zh-CN"/>
              </w:rPr>
              <w:t>委托代理人</w:t>
            </w:r>
            <w:r>
              <w:rPr>
                <w:rFonts w:hint="eastAsia" w:ascii="宋体" w:hAnsi="宋体" w:eastAsia="宋体" w:cs="宋体"/>
                <w:color w:val="auto"/>
                <w:kern w:val="0"/>
                <w:sz w:val="24"/>
                <w:szCs w:val="24"/>
              </w:rPr>
              <w:t xml:space="preserve">(签字)   </w:t>
            </w:r>
          </w:p>
        </w:tc>
      </w:tr>
      <w:tr w14:paraId="347B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350060B5">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rPr>
              <w:t>地址：</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 </w:t>
            </w:r>
          </w:p>
        </w:tc>
        <w:tc>
          <w:tcPr>
            <w:tcW w:w="2500" w:type="pct"/>
            <w:tcBorders>
              <w:top w:val="nil"/>
              <w:left w:val="nil"/>
              <w:bottom w:val="nil"/>
              <w:right w:val="nil"/>
            </w:tcBorders>
            <w:noWrap w:val="0"/>
            <w:vAlign w:val="center"/>
          </w:tcPr>
          <w:p w14:paraId="6D93FEE9">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color w:val="auto"/>
                <w:kern w:val="0"/>
                <w:sz w:val="24"/>
                <w:szCs w:val="24"/>
              </w:rPr>
              <w:t>地址：</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 </w:t>
            </w:r>
          </w:p>
        </w:tc>
      </w:tr>
      <w:tr w14:paraId="6EAF6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0B1A6C39">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电话：</w:t>
            </w:r>
          </w:p>
        </w:tc>
        <w:tc>
          <w:tcPr>
            <w:tcW w:w="2500" w:type="pct"/>
            <w:tcBorders>
              <w:top w:val="nil"/>
              <w:left w:val="nil"/>
              <w:bottom w:val="nil"/>
              <w:right w:val="nil"/>
            </w:tcBorders>
            <w:noWrap w:val="0"/>
            <w:vAlign w:val="center"/>
          </w:tcPr>
          <w:p w14:paraId="60CF6F76">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电话：</w:t>
            </w:r>
          </w:p>
        </w:tc>
      </w:tr>
      <w:tr w14:paraId="5CA7A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2500" w:type="pct"/>
            <w:tcBorders>
              <w:top w:val="nil"/>
              <w:left w:val="nil"/>
              <w:bottom w:val="nil"/>
              <w:right w:val="nil"/>
            </w:tcBorders>
            <w:noWrap w:val="0"/>
            <w:vAlign w:val="center"/>
          </w:tcPr>
          <w:p w14:paraId="0C53DC16">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日期：</w:t>
            </w:r>
          </w:p>
        </w:tc>
        <w:tc>
          <w:tcPr>
            <w:tcW w:w="2500" w:type="pct"/>
            <w:tcBorders>
              <w:top w:val="nil"/>
              <w:left w:val="nil"/>
              <w:bottom w:val="nil"/>
              <w:right w:val="nil"/>
            </w:tcBorders>
            <w:noWrap w:val="0"/>
            <w:vAlign w:val="center"/>
          </w:tcPr>
          <w:p w14:paraId="5CE5CFFA">
            <w:pPr>
              <w:keepNext w:val="0"/>
              <w:keepLines w:val="0"/>
              <w:pageBreakBefore w:val="0"/>
              <w:widowControl w:val="0"/>
              <w:shd w:val="clear" w:color="auto" w:fill="auto"/>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日期：</w:t>
            </w:r>
          </w:p>
        </w:tc>
      </w:tr>
    </w:tbl>
    <w:p w14:paraId="7C7C05E7">
      <w:pPr>
        <w:shd w:val="clear" w:color="auto" w:fill="auto"/>
        <w:spacing w:line="276" w:lineRule="auto"/>
        <w:ind w:firstLine="480" w:firstLineChars="200"/>
        <w:rPr>
          <w:rFonts w:hint="eastAsia" w:ascii="宋体" w:hAnsi="宋体" w:eastAsia="宋体" w:cs="宋体"/>
          <w:sz w:val="24"/>
          <w:szCs w:val="24"/>
        </w:rPr>
      </w:pPr>
    </w:p>
    <w:p w14:paraId="7006E3A3">
      <w:pPr>
        <w:keepNext w:val="0"/>
        <w:keepLines w:val="0"/>
        <w:pageBreakBefore w:val="0"/>
        <w:shd w:val="clear" w:color="auto" w:fill="auto"/>
        <w:kinsoku/>
        <w:wordWrap/>
        <w:overflowPunct/>
        <w:topLinePunct/>
        <w:autoSpaceDE/>
        <w:autoSpaceDN/>
        <w:bidi w:val="0"/>
        <w:spacing w:line="360" w:lineRule="auto"/>
        <w:ind w:firstLine="482" w:firstLineChars="200"/>
        <w:textAlignment w:val="auto"/>
      </w:pPr>
      <w:r>
        <w:rPr>
          <w:rFonts w:hint="eastAsia" w:ascii="宋体" w:hAnsi="宋体" w:eastAsia="宋体" w:cs="宋体"/>
          <w:b/>
          <w:bCs/>
          <w:color w:val="000000"/>
          <w:sz w:val="24"/>
          <w:szCs w:val="24"/>
          <w:highlight w:val="none"/>
        </w:rPr>
        <w:t>注：上述合同仅作为参考文本，合同签订时双方可根据项目的具体要求进行修订，实质性内容不得违背</w:t>
      </w:r>
      <w:r>
        <w:rPr>
          <w:rFonts w:hint="eastAsia" w:ascii="宋体" w:hAnsi="宋体" w:eastAsia="宋体" w:cs="宋体"/>
          <w:b/>
          <w:bCs/>
          <w:color w:val="000000"/>
          <w:sz w:val="24"/>
          <w:szCs w:val="24"/>
          <w:highlight w:val="none"/>
          <w:lang w:val="en-US" w:eastAsia="zh-CN"/>
        </w:rPr>
        <w:t>招标文件</w:t>
      </w:r>
      <w:r>
        <w:rPr>
          <w:rFonts w:hint="eastAsia" w:ascii="宋体" w:hAnsi="宋体" w:eastAsia="宋体" w:cs="宋体"/>
          <w:b/>
          <w:bCs/>
          <w:color w:val="000000"/>
          <w:sz w:val="24"/>
          <w:szCs w:val="24"/>
          <w:highlight w:val="none"/>
        </w:rPr>
        <w:t>的条款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0C0FF">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4E9273">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94E9273">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64E95"/>
    <w:rsid w:val="5AF64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cs="Times New Roman"/>
      <w:b/>
      <w:sz w:val="28"/>
      <w:szCs w:val="20"/>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szCs w:val="20"/>
    </w:rPr>
  </w:style>
  <w:style w:type="table" w:styleId="6">
    <w:name w:val="Table Grid"/>
    <w:basedOn w:val="5"/>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2025-07-10T03:21:00Z</dcterms:created>
  <dc:creator>超级刀刀贼</dc:creator>
  <cp:lastModifiedBy>超级刀刀贼</cp:lastModifiedBy>
  <dcterms:modified xsi:type="dcterms:W3CDTF">2025-07-10T03:23:56Z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220E61C089FD4CE2B039281AA31B86B3_11</vt:lpwstr>
  </property>
  <property fmtid="{D5CDD505-2E9C-101B-9397-08002B2CF9AE}" pid="4" name="KSOTemplateDocerSaveRecord">
    <vt:lpwstr>eyJoZGlkIjoiOTE2ODUxZTQ2ZWVlNzNhMDhmZjdkZjBiZWIwODUxN2IiLCJ1c2VySWQiOiIyNzk1NDI0NDcifQ==</vt:lpwstr>
  </property>
</Properties>
</file>