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版本号：HLZB2025-14420250828002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渭南市华州区教育体育局校园艺术活动组织实施服务采购项目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HLZB2025-144</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渭南市华州区教育体育局校园艺术活动组织实施服务采购项目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HLZB2025-144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渭南市华州区教育体育局校园艺术活动组织实施服务采购项目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教育部《3-6岁儿童学习与发展指南》，幼儿园艺术领域课程是幼儿教育的重要组成部分，旨在通过多样化的艺术活动培养幼儿的审美能力、创造力、情感表达和艺术素养。为弥补我区当前学前教育艺术领域师资短板，促进领域之间、目标之间的相互渗透和整合，促进幼儿身心全面协调发展，实施科学的保育和教育，特设立本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采购包1（渭南市华州区教育体育局校园艺术活动组织实施服务采购项目）：属于专门面向小微企业采购。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9、资质要求：供应商须具有有效的《劳务派遣经营许可证》及《人力资源服务许可证》</w:t>
      </w:r>
    </w:p>
    <w:p>
      <w:pPr>
        <w:pStyle w:val="null3"/>
      </w:pPr>
      <w:r>
        <w:rPr>
          <w:rFonts w:ascii="仿宋_GB2312" w:hAnsi="仿宋_GB2312" w:cs="仿宋_GB2312" w:eastAsia="仿宋_GB2312"/>
        </w:rPr>
        <w:t>10、磋商保证金交纳凭证或担保函：磋商保证金交纳凭证或担保函；（保证金交纳凭证复印件或担保函复印件加盖公章）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11、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13、本项目不接受联合体磋商：本项目不接受联合体磋商。（提供书面承诺函，格式自拟加盖供应商公章）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渭南市华州区教育科学技术局经办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0913-4733735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开户名称：陕西翰林招标有限公司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银行账号：154810956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开户名称：陕西翰林招标有限公司,开户行名称：中国民生银行股份有限公司西安雁塔路支行,账号：154810956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教育部《3-6岁儿童学习与发展指南》，幼儿园艺术领域课程是幼儿教育的重要组成部分，旨在通过多样化的艺术活动培养幼儿的审美能力、创造力、情感表达和艺术素养。为弥补我区当前学前教育艺术领域师资短板，促进领域之间、目标之间的相互渗透和整合，促进幼儿身心全面协调发展，实施科学的保育和教育，特设立本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884,700.00</w:t>
      </w:r>
    </w:p>
    <w:p>
      <w:pPr>
        <w:pStyle w:val="null3"/>
      </w:pPr>
      <w:r>
        <w:rPr>
          <w:rFonts w:ascii="仿宋_GB2312" w:hAnsi="仿宋_GB2312" w:cs="仿宋_GB2312" w:eastAsia="仿宋_GB2312"/>
        </w:rPr>
        <w:t>采购包最高限价（元）: 884,700.00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渭南市华州区教育体育局校园艺术活动组织实施服务采购项目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标的名称：渭南市华州区教育体育局校园艺术活动组织实施服务采购项目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b/>
              </w:rPr>
              <w:t>一、项目概况</w:t>
            </w:r>
          </w:p>
          <w:p>
            <w:pPr>
              <w:pStyle w:val="null3"/>
              <w:ind w:firstLine="480"/>
              <w:jc w:val="left"/>
            </w:pPr>
            <w:r>
              <w:rPr>
                <w:rFonts w:ascii="仿宋_GB2312" w:hAnsi="仿宋_GB2312" w:cs="仿宋_GB2312" w:eastAsia="仿宋_GB2312"/>
              </w:rPr>
              <w:t>根据教育部《3-6岁儿童学习与发展指南》，幼儿园艺术领域课程是幼儿教育的重要组成部分，旨在通过多样化的艺术活动培养幼儿的审美能力、创造力、情感表达和艺术素养。为弥补我区当前学前教育艺术领域师资短板，促进领域之间、目标之间的相互渗透和整合，促进幼儿身心全面协调发展，实施科学的保育和教育，特设立本项目。</w:t>
            </w:r>
          </w:p>
          <w:p>
            <w:pPr>
              <w:pStyle w:val="null3"/>
              <w:ind w:firstLine="482"/>
              <w:jc w:val="left"/>
            </w:pPr>
            <w:r>
              <w:rPr>
                <w:rFonts w:ascii="仿宋_GB2312" w:hAnsi="仿宋_GB2312" w:cs="仿宋_GB2312" w:eastAsia="仿宋_GB2312"/>
                <w:b/>
              </w:rPr>
              <w:t>二、</w:t>
            </w:r>
            <w:r>
              <w:rPr>
                <w:rFonts w:ascii="仿宋_GB2312" w:hAnsi="仿宋_GB2312" w:cs="仿宋_GB2312" w:eastAsia="仿宋_GB2312"/>
                <w:b/>
              </w:rPr>
              <w:t>项目服务</w:t>
            </w:r>
            <w:r>
              <w:rPr>
                <w:rFonts w:ascii="仿宋_GB2312" w:hAnsi="仿宋_GB2312" w:cs="仿宋_GB2312" w:eastAsia="仿宋_GB2312"/>
                <w:b/>
              </w:rPr>
              <w:t>目标</w:t>
            </w:r>
          </w:p>
          <w:p>
            <w:pPr>
              <w:pStyle w:val="null3"/>
              <w:ind w:firstLine="482"/>
              <w:jc w:val="left"/>
            </w:pPr>
            <w:r>
              <w:rPr>
                <w:rFonts w:ascii="仿宋_GB2312" w:hAnsi="仿宋_GB2312" w:cs="仿宋_GB2312" w:eastAsia="仿宋_GB2312"/>
                <w:b/>
              </w:rPr>
              <w:t>（一）感受与欣赏</w:t>
            </w:r>
          </w:p>
          <w:p>
            <w:pPr>
              <w:pStyle w:val="null3"/>
              <w:ind w:firstLine="480"/>
              <w:jc w:val="left"/>
            </w:pPr>
            <w:r>
              <w:rPr>
                <w:rFonts w:ascii="仿宋_GB2312" w:hAnsi="仿宋_GB2312" w:cs="仿宋_GB2312" w:eastAsia="仿宋_GB2312"/>
              </w:rPr>
              <w:t xml:space="preserve">目标：引导幼儿接触生活中的美，培养审美感知能力。  </w:t>
            </w:r>
          </w:p>
          <w:p>
            <w:pPr>
              <w:pStyle w:val="null3"/>
              <w:ind w:firstLine="480"/>
              <w:jc w:val="left"/>
            </w:pPr>
            <w:r>
              <w:rPr>
                <w:rFonts w:ascii="仿宋_GB2312" w:hAnsi="仿宋_GB2312" w:cs="仿宋_GB2312" w:eastAsia="仿宋_GB2312"/>
              </w:rPr>
              <w:t>1.自然与生活中的美</w:t>
            </w:r>
          </w:p>
          <w:p>
            <w:pPr>
              <w:pStyle w:val="null3"/>
              <w:ind w:firstLine="480"/>
              <w:jc w:val="left"/>
            </w:pPr>
            <w:r>
              <w:rPr>
                <w:rFonts w:ascii="仿宋_GB2312" w:hAnsi="仿宋_GB2312" w:cs="仿宋_GB2312" w:eastAsia="仿宋_GB2312"/>
              </w:rPr>
              <w:t xml:space="preserve">引导幼儿观察自然景物（如四季变化、花草树木）、日常生活中的艺术元素（如服装、建筑、工艺品）。  </w:t>
            </w:r>
          </w:p>
          <w:p>
            <w:pPr>
              <w:pStyle w:val="null3"/>
              <w:ind w:firstLine="480"/>
              <w:jc w:val="left"/>
            </w:pPr>
            <w:r>
              <w:rPr>
                <w:rFonts w:ascii="仿宋_GB2312" w:hAnsi="仿宋_GB2312" w:cs="仿宋_GB2312" w:eastAsia="仿宋_GB2312"/>
              </w:rPr>
              <w:t>2.艺术作品欣赏</w:t>
            </w:r>
          </w:p>
          <w:p>
            <w:pPr>
              <w:pStyle w:val="null3"/>
              <w:ind w:firstLine="480"/>
              <w:jc w:val="left"/>
            </w:pPr>
            <w:r>
              <w:rPr>
                <w:rFonts w:ascii="仿宋_GB2312" w:hAnsi="仿宋_GB2312" w:cs="仿宋_GB2312" w:eastAsia="仿宋_GB2312"/>
              </w:rPr>
              <w:t xml:space="preserve">组织适合幼儿的经典绘画、雕塑、民间艺术（如剪纸、泥塑）、音乐、舞蹈、戏剧等活动。  </w:t>
            </w:r>
          </w:p>
          <w:p>
            <w:pPr>
              <w:pStyle w:val="null3"/>
              <w:ind w:firstLine="480"/>
              <w:jc w:val="left"/>
            </w:pPr>
            <w:r>
              <w:rPr>
                <w:rFonts w:ascii="仿宋_GB2312" w:hAnsi="仿宋_GB2312" w:cs="仿宋_GB2312" w:eastAsia="仿宋_GB2312"/>
              </w:rPr>
              <w:t>引导幼儿通过多媒体、绘本、实物展示等方式接触多元文化（如中国水墨画、非洲鼓乐等）。</w:t>
            </w:r>
          </w:p>
          <w:p>
            <w:pPr>
              <w:pStyle w:val="null3"/>
              <w:ind w:firstLine="482"/>
              <w:jc w:val="left"/>
            </w:pPr>
            <w:r>
              <w:rPr>
                <w:rFonts w:ascii="仿宋_GB2312" w:hAnsi="仿宋_GB2312" w:cs="仿宋_GB2312" w:eastAsia="仿宋_GB2312"/>
                <w:b/>
              </w:rPr>
              <w:t>（二）、表现与创造</w:t>
            </w:r>
          </w:p>
          <w:p>
            <w:pPr>
              <w:pStyle w:val="null3"/>
              <w:ind w:firstLine="480"/>
              <w:jc w:val="left"/>
            </w:pPr>
            <w:r>
              <w:rPr>
                <w:rFonts w:ascii="仿宋_GB2312" w:hAnsi="仿宋_GB2312" w:cs="仿宋_GB2312" w:eastAsia="仿宋_GB2312"/>
              </w:rPr>
              <w:t xml:space="preserve">目标：鼓励幼儿通过多种艺术形式自由表达，发展想象力和创造力。  </w:t>
            </w:r>
          </w:p>
          <w:p>
            <w:pPr>
              <w:pStyle w:val="null3"/>
              <w:ind w:firstLine="480"/>
              <w:jc w:val="left"/>
            </w:pPr>
            <w:r>
              <w:rPr>
                <w:rFonts w:ascii="仿宋_GB2312" w:hAnsi="仿宋_GB2312" w:cs="仿宋_GB2312" w:eastAsia="仿宋_GB2312"/>
              </w:rPr>
              <w:t>1.绘画与手工</w:t>
            </w:r>
          </w:p>
          <w:p>
            <w:pPr>
              <w:pStyle w:val="null3"/>
              <w:ind w:firstLine="480"/>
              <w:jc w:val="left"/>
            </w:pPr>
            <w:r>
              <w:rPr>
                <w:rFonts w:ascii="仿宋_GB2312" w:hAnsi="仿宋_GB2312" w:cs="仿宋_GB2312" w:eastAsia="仿宋_GB2312"/>
              </w:rPr>
              <w:t xml:space="preserve">绘画：引导幼儿使用水彩、蜡笔、手指画、拓印等工具，尝试线条、色彩和构图。  </w:t>
            </w:r>
          </w:p>
          <w:p>
            <w:pPr>
              <w:pStyle w:val="null3"/>
              <w:ind w:firstLine="480"/>
              <w:jc w:val="left"/>
            </w:pPr>
            <w:r>
              <w:rPr>
                <w:rFonts w:ascii="仿宋_GB2312" w:hAnsi="仿宋_GB2312" w:cs="仿宋_GB2312" w:eastAsia="仿宋_GB2312"/>
              </w:rPr>
              <w:t xml:space="preserve">手工：组织开展剪纸、折纸、黏土塑造、拼贴、废物改造教学活动（如纸盒、瓶盖创作）。  </w:t>
            </w:r>
          </w:p>
          <w:p>
            <w:pPr>
              <w:pStyle w:val="null3"/>
              <w:ind w:firstLine="480"/>
              <w:jc w:val="left"/>
            </w:pPr>
            <w:r>
              <w:rPr>
                <w:rFonts w:ascii="仿宋_GB2312" w:hAnsi="仿宋_GB2312" w:cs="仿宋_GB2312" w:eastAsia="仿宋_GB2312"/>
              </w:rPr>
              <w:t>2.音乐活动</w:t>
            </w:r>
          </w:p>
          <w:p>
            <w:pPr>
              <w:pStyle w:val="null3"/>
              <w:ind w:firstLine="480"/>
              <w:jc w:val="left"/>
            </w:pPr>
            <w:r>
              <w:rPr>
                <w:rFonts w:ascii="仿宋_GB2312" w:hAnsi="仿宋_GB2312" w:cs="仿宋_GB2312" w:eastAsia="仿宋_GB2312"/>
              </w:rPr>
              <w:t xml:space="preserve">歌唱：组织幼儿学唱儿歌、童谣，感受节奏和旋律。  </w:t>
            </w:r>
          </w:p>
          <w:p>
            <w:pPr>
              <w:pStyle w:val="null3"/>
              <w:ind w:firstLine="480"/>
              <w:jc w:val="left"/>
            </w:pPr>
            <w:r>
              <w:rPr>
                <w:rFonts w:ascii="仿宋_GB2312" w:hAnsi="仿宋_GB2312" w:cs="仿宋_GB2312" w:eastAsia="仿宋_GB2312"/>
              </w:rPr>
              <w:t xml:space="preserve">律动与舞蹈：随音乐自由舞动或模仿简单动作。  </w:t>
            </w:r>
          </w:p>
          <w:p>
            <w:pPr>
              <w:pStyle w:val="null3"/>
              <w:ind w:firstLine="480"/>
              <w:jc w:val="left"/>
            </w:pPr>
            <w:r>
              <w:rPr>
                <w:rFonts w:ascii="仿宋_GB2312" w:hAnsi="仿宋_GB2312" w:cs="仿宋_GB2312" w:eastAsia="仿宋_GB2312"/>
              </w:rPr>
              <w:t xml:space="preserve">乐器探索：打击乐器（铃鼓、沙锤）、自制乐器（如水瓶装豆子）。  </w:t>
            </w:r>
          </w:p>
          <w:p>
            <w:pPr>
              <w:pStyle w:val="null3"/>
              <w:ind w:firstLine="480"/>
              <w:jc w:val="left"/>
            </w:pPr>
            <w:r>
              <w:rPr>
                <w:rFonts w:ascii="仿宋_GB2312" w:hAnsi="仿宋_GB2312" w:cs="仿宋_GB2312" w:eastAsia="仿宋_GB2312"/>
              </w:rPr>
              <w:t xml:space="preserve">角色扮演：通过绘本故事、生活场景进行即兴表演。  </w:t>
            </w:r>
          </w:p>
          <w:p>
            <w:pPr>
              <w:pStyle w:val="null3"/>
              <w:ind w:firstLine="480"/>
              <w:jc w:val="left"/>
            </w:pPr>
            <w:r>
              <w:rPr>
                <w:rFonts w:ascii="仿宋_GB2312" w:hAnsi="仿宋_GB2312" w:cs="仿宋_GB2312" w:eastAsia="仿宋_GB2312"/>
              </w:rPr>
              <w:t xml:space="preserve">皮影戏/木偶戏：用简单道具编演小故事。  </w:t>
            </w:r>
          </w:p>
          <w:p>
            <w:pPr>
              <w:pStyle w:val="null3"/>
              <w:ind w:firstLine="480"/>
              <w:jc w:val="left"/>
            </w:pPr>
            <w:r>
              <w:rPr>
                <w:rFonts w:ascii="仿宋_GB2312" w:hAnsi="仿宋_GB2312" w:cs="仿宋_GB2312" w:eastAsia="仿宋_GB2312"/>
              </w:rPr>
              <w:t xml:space="preserve">舞台展示：节日汇演、亲子游戏等。  </w:t>
            </w:r>
          </w:p>
          <w:p>
            <w:pPr>
              <w:pStyle w:val="null3"/>
              <w:ind w:firstLine="482"/>
              <w:jc w:val="left"/>
            </w:pPr>
            <w:r>
              <w:rPr>
                <w:rFonts w:ascii="仿宋_GB2312" w:hAnsi="仿宋_GB2312" w:cs="仿宋_GB2312" w:eastAsia="仿宋_GB2312"/>
                <w:b/>
              </w:rPr>
              <w:t>（三</w:t>
            </w:r>
            <w:r>
              <w:rPr>
                <w:rFonts w:ascii="仿宋_GB2312" w:hAnsi="仿宋_GB2312" w:cs="仿宋_GB2312" w:eastAsia="仿宋_GB2312"/>
                <w:b/>
              </w:rPr>
              <w:t>）</w:t>
            </w:r>
            <w:r>
              <w:rPr>
                <w:rFonts w:ascii="仿宋_GB2312" w:hAnsi="仿宋_GB2312" w:cs="仿宋_GB2312" w:eastAsia="仿宋_GB2312"/>
                <w:b/>
              </w:rPr>
              <w:t>、艺术与其他领域的融合</w:t>
            </w:r>
          </w:p>
          <w:p>
            <w:pPr>
              <w:pStyle w:val="null3"/>
              <w:ind w:firstLine="480"/>
              <w:jc w:val="left"/>
            </w:pPr>
            <w:r>
              <w:rPr>
                <w:rFonts w:ascii="仿宋_GB2312" w:hAnsi="仿宋_GB2312" w:cs="仿宋_GB2312" w:eastAsia="仿宋_GB2312"/>
              </w:rPr>
              <w:t xml:space="preserve">语言：通过绘画描述故事，或根据故事创作画作。  </w:t>
            </w:r>
          </w:p>
          <w:p>
            <w:pPr>
              <w:pStyle w:val="null3"/>
              <w:ind w:firstLine="480"/>
              <w:jc w:val="left"/>
            </w:pPr>
            <w:r>
              <w:rPr>
                <w:rFonts w:ascii="仿宋_GB2312" w:hAnsi="仿宋_GB2312" w:cs="仿宋_GB2312" w:eastAsia="仿宋_GB2312"/>
              </w:rPr>
              <w:t xml:space="preserve">科学：观察植物后绘画记录，制作自然材料拼贴（如树叶、种子）。  </w:t>
            </w:r>
          </w:p>
          <w:p>
            <w:pPr>
              <w:pStyle w:val="null3"/>
              <w:ind w:firstLine="480"/>
              <w:jc w:val="left"/>
            </w:pPr>
            <w:r>
              <w:rPr>
                <w:rFonts w:ascii="仿宋_GB2312" w:hAnsi="仿宋_GB2312" w:cs="仿宋_GB2312" w:eastAsia="仿宋_GB2312"/>
              </w:rPr>
              <w:t xml:space="preserve">社会：欣赏不同国家的传统艺术，了解文化多样性。  </w:t>
            </w:r>
          </w:p>
          <w:p>
            <w:pPr>
              <w:pStyle w:val="null3"/>
              <w:ind w:firstLine="480"/>
              <w:jc w:val="left"/>
            </w:pPr>
            <w:r>
              <w:rPr>
                <w:rFonts w:ascii="仿宋_GB2312" w:hAnsi="仿宋_GB2312" w:cs="仿宋_GB2312" w:eastAsia="仿宋_GB2312"/>
              </w:rPr>
              <w:t>通过艺术活动，发展幼儿精细动作、观察力，建立自信，学会用非语言方式表达自我，为终身审美素养奠定基础。</w:t>
            </w:r>
          </w:p>
          <w:p>
            <w:pPr>
              <w:pStyle w:val="null3"/>
              <w:ind w:firstLine="480"/>
              <w:jc w:val="left"/>
            </w:pPr>
            <w:r>
              <w:rPr>
                <w:rFonts w:ascii="仿宋_GB2312" w:hAnsi="仿宋_GB2312" w:cs="仿宋_GB2312" w:eastAsia="仿宋_GB2312"/>
                <w:b/>
              </w:rPr>
              <w:t>三、服务内容</w:t>
            </w:r>
          </w:p>
          <w:p>
            <w:pPr>
              <w:pStyle w:val="null3"/>
              <w:ind w:firstLine="480"/>
              <w:jc w:val="both"/>
            </w:pPr>
            <w:r>
              <w:rPr>
                <w:rFonts w:ascii="仿宋_GB2312" w:hAnsi="仿宋_GB2312" w:cs="仿宋_GB2312" w:eastAsia="仿宋_GB2312"/>
              </w:rPr>
              <w:t>1.供应商中标后，应在服务期内向采购人提供劳务派遣服务。劳务派遣服务内容应包括：用工手续办理、工资发放、社保缴纳、劳保福利、培训教育、档案管理及纠纷处理等。</w:t>
            </w:r>
          </w:p>
          <w:p>
            <w:pPr>
              <w:pStyle w:val="null3"/>
              <w:ind w:firstLine="480"/>
              <w:jc w:val="both"/>
            </w:pPr>
            <w:r>
              <w:rPr>
                <w:rFonts w:ascii="仿宋_GB2312" w:hAnsi="仿宋_GB2312" w:cs="仿宋_GB2312" w:eastAsia="仿宋_GB2312"/>
              </w:rPr>
              <w:t>2.供应商按照国家规定和合同约定，依法为派遣人员缴纳养老保险、医疗保险、生育保险、工伤保险、失业保险，并办理社会保险相关手续。如派遣人员由于已在原籍参加社保而要求不缴纳社保的，需向供应商提供已参加社保证明及个人申请。如因供应商原因导致未及时缴纳责任由供应商承担。</w:t>
            </w:r>
          </w:p>
          <w:p>
            <w:pPr>
              <w:pStyle w:val="null3"/>
              <w:ind w:firstLine="480"/>
              <w:jc w:val="both"/>
            </w:pPr>
            <w:r>
              <w:rPr>
                <w:rFonts w:ascii="仿宋_GB2312" w:hAnsi="仿宋_GB2312" w:cs="仿宋_GB2312" w:eastAsia="仿宋_GB2312"/>
              </w:rPr>
              <w:t>3.供应商需按时为派遣人员发放工资，派遣人员须在《工资收款人明细表》签字确认，发放工资完毕后供应商将此表原件、《派遣员工社保缴纳明细表》和社保网站缴费证明打印件加盖供应商公章交采购人审核备案，如因供应商原因未能及时发放，因此给采购人造成损失的，采购人有权追偿。</w:t>
            </w:r>
          </w:p>
          <w:p>
            <w:pPr>
              <w:pStyle w:val="null3"/>
              <w:ind w:firstLine="480"/>
              <w:jc w:val="both"/>
            </w:pPr>
            <w:r>
              <w:rPr>
                <w:rFonts w:ascii="仿宋_GB2312" w:hAnsi="仿宋_GB2312" w:cs="仿宋_GB2312" w:eastAsia="仿宋_GB2312"/>
              </w:rPr>
              <w:t>4.供应商建立培训制度，负责对派遣人员进行上岗知识、安全教育培训；督促采购人依法为派遣人员提供劳动保护和劳动安全卫生条件；教育派遣人员遵守国家的法律、法规和规章，以及采购人依法制定的各项规章制度，服从采购人的管理，确保派遣人员完成采购人所交给的工作任务，并及时了解派遣人员有关情况。</w:t>
            </w:r>
          </w:p>
          <w:p>
            <w:pPr>
              <w:pStyle w:val="null3"/>
              <w:ind w:firstLine="480"/>
              <w:jc w:val="both"/>
            </w:pPr>
            <w:r>
              <w:rPr>
                <w:rFonts w:ascii="仿宋_GB2312" w:hAnsi="仿宋_GB2312" w:cs="仿宋_GB2312" w:eastAsia="仿宋_GB2312"/>
              </w:rPr>
              <w:t>5.供应商负责派遣人员的人事档案管理、学历职称报考、党团员关系的转移等相关工作；依法出具解除或者终止劳动合同的证明。</w:t>
            </w:r>
          </w:p>
          <w:p>
            <w:pPr>
              <w:pStyle w:val="null3"/>
              <w:ind w:firstLine="480"/>
              <w:jc w:val="both"/>
            </w:pPr>
            <w:r>
              <w:rPr>
                <w:rFonts w:ascii="仿宋_GB2312" w:hAnsi="仿宋_GB2312" w:cs="仿宋_GB2312" w:eastAsia="仿宋_GB2312"/>
              </w:rPr>
              <w:t>6.供应商负责处理派遣人员与采购人的纠纷。</w:t>
            </w:r>
          </w:p>
          <w:p>
            <w:pPr>
              <w:pStyle w:val="null3"/>
              <w:ind w:firstLine="480"/>
              <w:jc w:val="both"/>
            </w:pPr>
            <w:r>
              <w:rPr>
                <w:rFonts w:ascii="仿宋_GB2312" w:hAnsi="仿宋_GB2312" w:cs="仿宋_GB2312" w:eastAsia="仿宋_GB2312"/>
              </w:rPr>
              <w:t>7.供应商按照国家规定和劳务派遣协议约定，依法支付派遣人员的劳动报酬和相关待遇。同时需给派遣人员办理统一的工资卡，按照约定按期发放工资，遇休息日、法定节假日可延至最近的工作日发放。</w:t>
            </w:r>
          </w:p>
          <w:p>
            <w:pPr>
              <w:pStyle w:val="null3"/>
              <w:ind w:firstLine="480"/>
              <w:jc w:val="both"/>
            </w:pPr>
            <w:r>
              <w:rPr>
                <w:rFonts w:ascii="仿宋_GB2312" w:hAnsi="仿宋_GB2312" w:cs="仿宋_GB2312" w:eastAsia="仿宋_GB2312"/>
              </w:rPr>
              <w:t>8.派遣人员可以依照《劳动合同法》第三十六条、第三十八条的规定与供应商解除劳动合同。派遣人员劳动合同期满的，供应商应提前30天通知派遣人员是否续订或终止劳动合同。</w:t>
            </w:r>
          </w:p>
          <w:p>
            <w:pPr>
              <w:pStyle w:val="null3"/>
              <w:ind w:firstLine="480"/>
              <w:jc w:val="both"/>
            </w:pPr>
            <w:r>
              <w:rPr>
                <w:rFonts w:ascii="仿宋_GB2312" w:hAnsi="仿宋_GB2312" w:cs="仿宋_GB2312" w:eastAsia="仿宋_GB2312"/>
              </w:rPr>
              <w:t>9.派遣人员在本项目履行期间发生因工人身伤亡事故时，采购人应从以人为本的角度给予派遣人员及时救治，并在事发24小时内电话且书面通知供应商，同时提供所需资料（20日内将根据社保机构规定需采购人提供的工伤认定资料交给供应商），由供应商统计、上报、申报理赔等。供应商申报完成后，工伤保险机构将赔付及待遇支付给供应商后，供应商应依法及时支付给员工及其家属。</w:t>
            </w:r>
          </w:p>
          <w:p>
            <w:pPr>
              <w:pStyle w:val="null3"/>
              <w:ind w:firstLine="480"/>
              <w:jc w:val="both"/>
            </w:pPr>
            <w:r>
              <w:rPr>
                <w:rFonts w:ascii="仿宋_GB2312" w:hAnsi="仿宋_GB2312" w:cs="仿宋_GB2312" w:eastAsia="仿宋_GB2312"/>
              </w:rPr>
              <w:t>10.派遣人员非因工死亡时，由采购人配合供应商处理相关事宜，社会保险应支付给派遣人员的费用由供应商负责按照社保机构的规定申领并依法支付给派遣人员家属。</w:t>
            </w:r>
          </w:p>
          <w:p>
            <w:pPr>
              <w:pStyle w:val="null3"/>
              <w:ind w:firstLine="480"/>
              <w:jc w:val="both"/>
            </w:pPr>
            <w:r>
              <w:rPr>
                <w:rFonts w:ascii="仿宋_GB2312" w:hAnsi="仿宋_GB2312" w:cs="仿宋_GB2312" w:eastAsia="仿宋_GB2312"/>
              </w:rPr>
              <w:t>11.供应商需配合采购人开具派遣人员的相关证明材料。</w:t>
            </w:r>
          </w:p>
          <w:p>
            <w:pPr>
              <w:pStyle w:val="null3"/>
              <w:ind w:firstLine="480"/>
              <w:jc w:val="both"/>
            </w:pPr>
            <w:r>
              <w:rPr>
                <w:rFonts w:ascii="仿宋_GB2312" w:hAnsi="仿宋_GB2312" w:cs="仿宋_GB2312" w:eastAsia="仿宋_GB2312"/>
              </w:rPr>
              <w:t>12.派遣员工的退休手续及退休的管理由供应商办理。</w:t>
            </w:r>
          </w:p>
          <w:p>
            <w:pPr>
              <w:pStyle w:val="null3"/>
              <w:ind w:firstLine="480"/>
              <w:jc w:val="both"/>
            </w:pPr>
            <w:r>
              <w:rPr>
                <w:rFonts w:ascii="仿宋_GB2312" w:hAnsi="仿宋_GB2312" w:cs="仿宋_GB2312" w:eastAsia="仿宋_GB2312"/>
              </w:rPr>
              <w:t>13.根据国家相关法律规定，如派遣员工需要根据比例计算并向国家缴纳残疾人就业保险金保障金的，采购人按部分费用支付给供应商，供应商协助采购人办理相关事宜。</w:t>
            </w:r>
          </w:p>
          <w:p>
            <w:pPr>
              <w:pStyle w:val="null3"/>
              <w:ind w:firstLine="480"/>
              <w:jc w:val="both"/>
            </w:pPr>
            <w:r>
              <w:rPr>
                <w:rFonts w:ascii="仿宋_GB2312" w:hAnsi="仿宋_GB2312" w:cs="仿宋_GB2312" w:eastAsia="仿宋_GB2312"/>
              </w:rPr>
              <w:t>14、供应商所有行为应遵守《劳动法》、《劳动合同法》、《劳动合同法实施条例》、《劳务派遣暂行规定》、《工伤保险条例》、《工资支付暂行规定》等国家法律、法规、地方及采购人的相关法规、政策规定。</w:t>
            </w:r>
          </w:p>
          <w:p>
            <w:pPr>
              <w:pStyle w:val="null3"/>
              <w:ind w:firstLine="482"/>
              <w:jc w:val="left"/>
            </w:pPr>
            <w:r>
              <w:rPr>
                <w:rFonts w:ascii="仿宋_GB2312" w:hAnsi="仿宋_GB2312" w:cs="仿宋_GB2312" w:eastAsia="仿宋_GB2312"/>
                <w:b/>
              </w:rPr>
              <w:t>四、人员配备</w:t>
            </w:r>
          </w:p>
          <w:p>
            <w:pPr>
              <w:pStyle w:val="null3"/>
              <w:ind w:firstLine="482"/>
              <w:jc w:val="left"/>
            </w:pPr>
            <w:r>
              <w:rPr>
                <w:rFonts w:ascii="仿宋_GB2312" w:hAnsi="仿宋_GB2312" w:cs="仿宋_GB2312" w:eastAsia="仿宋_GB2312"/>
                <w:b/>
              </w:rPr>
              <w:t>（一）人员要求：</w:t>
            </w:r>
          </w:p>
          <w:p>
            <w:pPr>
              <w:pStyle w:val="null3"/>
              <w:ind w:firstLine="480"/>
              <w:jc w:val="left"/>
            </w:pPr>
            <w:r>
              <w:rPr>
                <w:rFonts w:ascii="仿宋_GB2312" w:hAnsi="仿宋_GB2312" w:cs="仿宋_GB2312" w:eastAsia="仿宋_GB2312"/>
              </w:rPr>
              <w:t>遵守宪法和法律，无犯罪记录。具备良好品行和职业道德，符合教师职业规范，服从管理。大专及以上学历，持有幼儿园或中小学教师资格证，年龄45周岁以内（截止2025年7月底）。</w:t>
            </w:r>
          </w:p>
          <w:p>
            <w:pPr>
              <w:pStyle w:val="null3"/>
              <w:ind w:firstLine="482"/>
              <w:jc w:val="left"/>
            </w:pPr>
            <w:r>
              <w:rPr>
                <w:rFonts w:ascii="仿宋_GB2312" w:hAnsi="仿宋_GB2312" w:cs="仿宋_GB2312" w:eastAsia="仿宋_GB2312"/>
                <w:b/>
              </w:rPr>
              <w:t>（二）人数要求</w:t>
            </w:r>
          </w:p>
          <w:p>
            <w:pPr>
              <w:pStyle w:val="null3"/>
              <w:ind w:firstLine="480"/>
              <w:jc w:val="left"/>
            </w:pPr>
            <w:r>
              <w:rPr>
                <w:rFonts w:ascii="仿宋_GB2312" w:hAnsi="仿宋_GB2312" w:cs="仿宋_GB2312" w:eastAsia="仿宋_GB2312"/>
              </w:rPr>
              <w:t>总人数不低于19人（工作岗位可由区教体局根据工作需要调配）。</w:t>
            </w:r>
          </w:p>
          <w:p>
            <w:pPr>
              <w:pStyle w:val="null3"/>
              <w:ind w:firstLine="480"/>
              <w:jc w:val="left"/>
            </w:pPr>
            <w:r>
              <w:rPr>
                <w:rFonts w:ascii="仿宋_GB2312" w:hAnsi="仿宋_GB2312" w:cs="仿宋_GB2312" w:eastAsia="仿宋_GB2312"/>
              </w:rPr>
              <w:t>（三）若出现下列情形之一的，应及时进行人员调整或补充：</w:t>
            </w:r>
          </w:p>
          <w:p>
            <w:pPr>
              <w:pStyle w:val="null3"/>
              <w:ind w:firstLine="480"/>
              <w:jc w:val="left"/>
            </w:pPr>
            <w:r>
              <w:rPr>
                <w:rFonts w:ascii="仿宋_GB2312" w:hAnsi="仿宋_GB2312" w:cs="仿宋_GB2312" w:eastAsia="仿宋_GB2312"/>
              </w:rPr>
              <w:t>1.不服从单位管理的；</w:t>
            </w:r>
          </w:p>
          <w:p>
            <w:pPr>
              <w:pStyle w:val="null3"/>
              <w:ind w:firstLine="480"/>
              <w:jc w:val="left"/>
            </w:pPr>
            <w:r>
              <w:rPr>
                <w:rFonts w:ascii="仿宋_GB2312" w:hAnsi="仿宋_GB2312" w:cs="仿宋_GB2312" w:eastAsia="仿宋_GB2312"/>
              </w:rPr>
              <w:t>2.因工作失职造成重大工作失误或安全事故的；</w:t>
            </w:r>
          </w:p>
          <w:p>
            <w:pPr>
              <w:pStyle w:val="null3"/>
              <w:ind w:firstLine="480"/>
              <w:jc w:val="left"/>
            </w:pPr>
            <w:r>
              <w:rPr>
                <w:rFonts w:ascii="仿宋_GB2312" w:hAnsi="仿宋_GB2312" w:cs="仿宋_GB2312" w:eastAsia="仿宋_GB2312"/>
              </w:rPr>
              <w:t>3.违反职业道德，损害单位利益的；</w:t>
            </w:r>
          </w:p>
          <w:p>
            <w:pPr>
              <w:pStyle w:val="null3"/>
              <w:ind w:firstLine="480"/>
              <w:jc w:val="left"/>
            </w:pPr>
            <w:r>
              <w:rPr>
                <w:rFonts w:ascii="仿宋_GB2312" w:hAnsi="仿宋_GB2312" w:cs="仿宋_GB2312" w:eastAsia="仿宋_GB2312"/>
              </w:rPr>
              <w:t>4.组织或参与违法犯罪活动的；</w:t>
            </w:r>
          </w:p>
          <w:p>
            <w:pPr>
              <w:pStyle w:val="null3"/>
              <w:ind w:firstLine="480"/>
              <w:jc w:val="left"/>
            </w:pPr>
            <w:r>
              <w:rPr>
                <w:rFonts w:ascii="仿宋_GB2312" w:hAnsi="仿宋_GB2312" w:cs="仿宋_GB2312" w:eastAsia="仿宋_GB2312"/>
              </w:rPr>
              <w:t>5.举止不文明，群众反映强烈的；</w:t>
            </w:r>
          </w:p>
          <w:p>
            <w:pPr>
              <w:pStyle w:val="null3"/>
              <w:ind w:firstLine="480"/>
              <w:jc w:val="left"/>
            </w:pPr>
            <w:r>
              <w:rPr>
                <w:rFonts w:ascii="仿宋_GB2312" w:hAnsi="仿宋_GB2312" w:cs="仿宋_GB2312" w:eastAsia="仿宋_GB2312"/>
              </w:rPr>
              <w:t>6.因个人原因，自动离职的。</w:t>
            </w:r>
          </w:p>
          <w:p>
            <w:pPr>
              <w:pStyle w:val="null3"/>
              <w:ind w:firstLine="482"/>
              <w:jc w:val="left"/>
            </w:pPr>
            <w:r>
              <w:rPr>
                <w:rFonts w:ascii="仿宋_GB2312" w:hAnsi="仿宋_GB2312" w:cs="仿宋_GB2312" w:eastAsia="仿宋_GB2312"/>
                <w:b/>
              </w:rPr>
              <w:t>五、费用结算</w:t>
            </w:r>
          </w:p>
          <w:p>
            <w:pPr>
              <w:pStyle w:val="null3"/>
              <w:ind w:firstLine="480"/>
              <w:jc w:val="left"/>
            </w:pPr>
            <w:r>
              <w:rPr>
                <w:rFonts w:ascii="仿宋_GB2312" w:hAnsi="仿宋_GB2312" w:cs="仿宋_GB2312" w:eastAsia="仿宋_GB2312"/>
              </w:rPr>
              <w:t>项目费用包含人员薪资待遇、社会保障缴费、人员管理等含税费用。</w:t>
            </w:r>
          </w:p>
          <w:p>
            <w:pPr>
              <w:pStyle w:val="null3"/>
              <w:ind w:firstLine="480"/>
              <w:jc w:val="left"/>
            </w:pPr>
            <w:r>
              <w:rPr>
                <w:rFonts w:ascii="仿宋_GB2312" w:hAnsi="仿宋_GB2312" w:cs="仿宋_GB2312" w:eastAsia="仿宋_GB2312"/>
              </w:rPr>
              <w:t>所需费用按月支付，成交企业应及时足额保障人员薪资待遇及社会保障缴费，确保人员安全稳定。</w:t>
            </w:r>
          </w:p>
          <w:p>
            <w:pPr>
              <w:pStyle w:val="null3"/>
              <w:ind w:firstLine="480"/>
              <w:jc w:val="left"/>
            </w:pPr>
            <w:r>
              <w:rPr>
                <w:rFonts w:ascii="仿宋_GB2312" w:hAnsi="仿宋_GB2312" w:cs="仿宋_GB2312" w:eastAsia="仿宋_GB2312"/>
              </w:rPr>
              <w:t>成交企业应定期对人员开展安全教育，人员安全事故责任由成交企业负责。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自合同签订之日起1年。服务期满后，乙方服务合格，经双方协商后可续签合同（最多三年），合同每年一签。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本项目磋商一次，磋商后供应商根据磋商内容在规定的时间内通过交易系统递交磋商响应函，逾期未递交的视为自动放弃竞争。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本项目为专门面向小微企业采购；须符合《政府采购促进中小企业发展管理办法》（财库〔2020〕46号）规定的小微企业参加。参与的供应商服务全部由符合政策要求的小微企业承接。</w:t>
            </w:r>
          </w:p>
        </w:tc>
        <w:tc>
          <w:tcPr>
            <w:tcW w:type="dxa" w:w="1661"/>
          </w:tcPr>
          <w:p>
            <w:pPr>
              <w:pStyle w:val="null3"/>
            </w:pPr>
            <w:r>
              <w:rPr>
                <w:rFonts w:ascii="仿宋_GB2312" w:hAnsi="仿宋_GB2312" w:cs="仿宋_GB2312" w:eastAsia="仿宋_GB2312"/>
              </w:rPr>
              <w:t>中小企业声明函.docx 残疾人福利性单位声明函.docx 监狱、戒毒企业声明函.docx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供应商须具有有效的《劳务派遣经营许可证》及《人力资源服务许可证》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承诺书.docx 响应函 封皮.docx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分项报价表.docx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分项报价表.docx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分项报价表.docx 商务条款响应偏离表.docx 响应函 服务条款响应偏离表.docx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供应商根据本项目内容及要求做出具体响应内容、列出具体服务方案、服务内容分析、服务目标等进行综合评定。 方案内容分析完整、全面、合理，服务目标明确，完全满足采购人需求计15分； 方案及内容较为详细的计12分； 内容简单粗略的计8分； 内容不全、有缺项的计4分；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供应商针对本项目提供健全的工作流程管理制度。 管理制度健全、规范，实施计划详细、可行性强，计15分； 管理制度内容较为详细的计12分； 内容简单粗略的计8分； 内容不全、有缺项的计4分；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针对易发生劳动纠纷的风险，具有处理劳动争议，解决劳务纠纷的能力，针对派遣人员因公患病、工伤或工亡的善后工作的处置措施，有详细的处置措施及处置预案。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在处理人员中途离职及其他特殊事件和紧急、突发事故制定详细、全面的各项处置措施。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具有完善的档案资料管理和移交工作制度。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针对本项目的组织管理团队健全,分工明确，岗位责任制强，项目负责人管理经验丰富能力高，能全面高效地完成本项目，根据人员设置及分工、分配的响应程度。 拟派人员能够充分满足本项目需求的得10分； 团队组建较完整，管理较合理，具备职责分工，有一定的服务经验，能够基本符合本项目需求的得7分； 团队组建一般，管理及分工仅进行相关描述，仅具有经验，但不足以证明能够胜任本项目的得4分； 团队组建不够合理，管理欠缺，未进行明确分工，无相关经验得2分；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提供针对本项目的服务承诺方案：承诺全面、合理、有可实施性计5分；承诺较为全面、合理、可实施性一般计3分；承诺内容简单粗略的计2分；内容不具体，有缺项的计1分；未提供不计分。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实质性的合理化建议，评委认为有利于提高项目管理水平或降低项目实施成本的。内容合理、全面的计5分；内容较为合理的计3分；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以合同复印件形式提供2022年1月1日至今类似项目业绩，每份计1分，计满5分为止；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详见附件：监狱、戒毒企业声明函.docx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