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60日历日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合格，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Hans"/>
              </w:rPr>
              <w:t>达到国家现行技术标准；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同生效后，采购人按工程形象进度支付工程进度款：完成总体工程量的50%，支付至合同总价的30%，工程全部施工验收合格，双方根据竣工结算审计报告确定最终金额，采购人支付剩余款项。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整个项目竣工验收合格之日起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年</w:t>
            </w:r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08E406B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A70844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0</TotalTime>
  <ScaleCrop>false</ScaleCrop>
  <LinksUpToDate>false</LinksUpToDate>
  <CharactersWithSpaces>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刚子（速标图文13002973918）</cp:lastModifiedBy>
  <dcterms:modified xsi:type="dcterms:W3CDTF">2025-08-04T13:18:38Z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eyJoZGlkIjoiZmYzODExY2QxOTcyY2JmYWY4MGU5NDI2NDhmN2NiMGQiLCJ1c2VySWQiOiIzODU3MjQ5NzMifQ==</vt:lpwstr>
  </property>
</Properties>
</file>