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版本号：HZGH-2025-02320250901001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渭南市华州区毓秀小学改造提升项目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HZGH-2025-023</w:t>
      </w:r>
      <w:r>
        <w:br/>
      </w:r>
      <w:r>
        <w:br/>
      </w:r>
      <w:r>
        <w:br/>
      </w:r>
    </w:p>
    <w:p>
      <w:pPr>
        <w:pStyle w:val="null3"/>
        <w:jc w:val="center"/>
        <w:outlineLvl w:val="2"/>
      </w:pPr>
      <w:r>
        <w:rPr>
          <w:rFonts w:ascii="仿宋_GB2312" w:hAnsi="仿宋_GB2312" w:cs="仿宋_GB2312" w:eastAsia="仿宋_GB2312"/>
          <w:sz w:val="28"/>
          <w:b/>
        </w:rPr>
        <w:t>渭南市华州区教育科学技术局</w:t>
      </w:r>
    </w:p>
    <w:p>
      <w:pPr>
        <w:pStyle w:val="null3"/>
        <w:jc w:val="center"/>
        <w:outlineLvl w:val="2"/>
      </w:pPr>
      <w:r>
        <w:rPr>
          <w:rFonts w:ascii="仿宋_GB2312" w:hAnsi="仿宋_GB2312" w:cs="仿宋_GB2312" w:eastAsia="仿宋_GB2312"/>
          <w:sz w:val="28"/>
          <w:b/>
        </w:rPr>
        <w:t>华招广和项目管理有限公司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华招广和项目管理有限公司</w:t>
      </w:r>
      <w:r>
        <w:rPr>
          <w:rFonts w:ascii="仿宋_GB2312" w:hAnsi="仿宋_GB2312" w:cs="仿宋_GB2312" w:eastAsia="仿宋_GB2312"/>
        </w:rPr>
        <w:t>（以下简称“代理机构”）受</w:t>
      </w:r>
      <w:r>
        <w:rPr>
          <w:rFonts w:ascii="仿宋_GB2312" w:hAnsi="仿宋_GB2312" w:cs="仿宋_GB2312" w:eastAsia="仿宋_GB2312"/>
        </w:rPr>
        <w:t>渭南市华州区教育科学技术局</w:t>
      </w:r>
      <w:r>
        <w:rPr>
          <w:rFonts w:ascii="仿宋_GB2312" w:hAnsi="仿宋_GB2312" w:cs="仿宋_GB2312" w:eastAsia="仿宋_GB2312"/>
        </w:rPr>
        <w:t>委托，拟对</w:t>
      </w:r>
      <w:r>
        <w:rPr>
          <w:rFonts w:ascii="仿宋_GB2312" w:hAnsi="仿宋_GB2312" w:cs="仿宋_GB2312" w:eastAsia="仿宋_GB2312"/>
        </w:rPr>
        <w:t>渭南市华州区毓秀小学改造提升项目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HZGH-2025-023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渭南市华州区毓秀小学改造提升项目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渭南市华州区毓秀小学改造提升项目位于渭南市华州区，是对综合教学楼及室外采暖工程进行改造。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采购包1（渭南市华州区毓秀小学改造提升项目）：属于专门面向中小企业采购。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1、营业执照：具有独立承担民事责任能力的法人、其他组织或自然人，提供供应商合法注册的法人或者其他组织的营业执照等证明文件、自然人的身份证明；</w:t>
      </w:r>
    </w:p>
    <w:p>
      <w:pPr>
        <w:pStyle w:val="null3"/>
      </w:pPr>
      <w:r>
        <w:rPr>
          <w:rFonts w:ascii="仿宋_GB2312" w:hAnsi="仿宋_GB2312" w:cs="仿宋_GB2312" w:eastAsia="仿宋_GB2312"/>
        </w:rPr>
        <w:t>2、税收缴纳证明：提供2024年1月1日至今任意一个月已缴纳的纳税证明或完税证明（包含增值税、企业所得税、营业税至少一种）；（依法免税的投标人应提供相关文件证明）</w:t>
      </w:r>
    </w:p>
    <w:p>
      <w:pPr>
        <w:pStyle w:val="null3"/>
      </w:pPr>
      <w:r>
        <w:rPr>
          <w:rFonts w:ascii="仿宋_GB2312" w:hAnsi="仿宋_GB2312" w:cs="仿宋_GB2312" w:eastAsia="仿宋_GB2312"/>
        </w:rPr>
        <w:t>3、财务状况报告：提供具有财务审计资质单位出具的2023年度或2024年度财务报告（成立时间至磋商时间不足一年的可提供成立后任意时段的资产负债表）或磋商前六个月内其基本账户银行出具的资信证明（附开户许可证或基本账户证明）或政府采购信用担保机构出具的磋商担保函。</w:t>
      </w:r>
    </w:p>
    <w:p>
      <w:pPr>
        <w:pStyle w:val="null3"/>
      </w:pPr>
      <w:r>
        <w:rPr>
          <w:rFonts w:ascii="仿宋_GB2312" w:hAnsi="仿宋_GB2312" w:cs="仿宋_GB2312" w:eastAsia="仿宋_GB2312"/>
        </w:rPr>
        <w:t>4、社会保障资金缴纳证明：提供2024年1月1日至今任意一个月的社保缴费凭据或社保机构开具的社会保险参保缴费情况证明；（依法不需要缴纳社会保障资金的投标人应提供相关证明）</w:t>
      </w:r>
    </w:p>
    <w:p>
      <w:pPr>
        <w:pStyle w:val="null3"/>
      </w:pPr>
      <w:r>
        <w:rPr>
          <w:rFonts w:ascii="仿宋_GB2312" w:hAnsi="仿宋_GB2312" w:cs="仿宋_GB2312" w:eastAsia="仿宋_GB2312"/>
        </w:rPr>
        <w:t>5、具有履行本合同所必需的设备和专业技术能力的说明及承诺：提供具有履行本合同所必需的设备和专业技术能力的说明及承诺；（格式自拟，加盖供应商公章）</w:t>
      </w:r>
    </w:p>
    <w:p>
      <w:pPr>
        <w:pStyle w:val="null3"/>
      </w:pPr>
      <w:r>
        <w:rPr>
          <w:rFonts w:ascii="仿宋_GB2312" w:hAnsi="仿宋_GB2312" w:cs="仿宋_GB2312" w:eastAsia="仿宋_GB2312"/>
        </w:rPr>
        <w:t>6、参加政府采购活动前三年内在经营活动中没有重大违法记录的书面声明：提供参加政府采购活动前三年内在经营活动中没有重大违法记录的书面声明。（格式自拟，加盖供应商公章）</w:t>
      </w:r>
    </w:p>
    <w:p>
      <w:pPr>
        <w:pStyle w:val="null3"/>
      </w:pPr>
      <w:r>
        <w:rPr>
          <w:rFonts w:ascii="仿宋_GB2312" w:hAnsi="仿宋_GB2312" w:cs="仿宋_GB2312" w:eastAsia="仿宋_GB2312"/>
        </w:rPr>
        <w:t>7、法定代表人或负责人资格证明书：法定代表人或负责人参与磋商时需提供法定代表人或负责人资格证明书（附法定代表人或负责人身份证复印件）；</w:t>
      </w:r>
    </w:p>
    <w:p>
      <w:pPr>
        <w:pStyle w:val="null3"/>
      </w:pPr>
      <w:r>
        <w:rPr>
          <w:rFonts w:ascii="仿宋_GB2312" w:hAnsi="仿宋_GB2312" w:cs="仿宋_GB2312" w:eastAsia="仿宋_GB2312"/>
        </w:rPr>
        <w:t>8、法定代表人或负责人授权委托书：被授权人参与磋商时，需提供法定代表人或负责人资格证明书、法定代表人或负责人授权委托书（附法定代表人或负责人及被授权人身份证复印件）；</w:t>
      </w:r>
    </w:p>
    <w:p>
      <w:pPr>
        <w:pStyle w:val="null3"/>
      </w:pPr>
      <w:r>
        <w:rPr>
          <w:rFonts w:ascii="仿宋_GB2312" w:hAnsi="仿宋_GB2312" w:cs="仿宋_GB2312" w:eastAsia="仿宋_GB2312"/>
        </w:rPr>
        <w:t>9、资质要求：具备建设行政主管部门颁发的建筑工程施工总承包三级及以上（含三级）资质，并具有有效的安全生产许可证；</w:t>
      </w:r>
    </w:p>
    <w:p>
      <w:pPr>
        <w:pStyle w:val="null3"/>
      </w:pPr>
      <w:r>
        <w:rPr>
          <w:rFonts w:ascii="仿宋_GB2312" w:hAnsi="仿宋_GB2312" w:cs="仿宋_GB2312" w:eastAsia="仿宋_GB2312"/>
        </w:rPr>
        <w:t>10、拟派项目负责人资质和专业要求：拟派项目经理具有建筑工程专业二级及以上注册建造师证书及有效的安全生产考核合格证（B证），且无在建项目（提供无在建承诺）；</w:t>
      </w:r>
    </w:p>
    <w:p>
      <w:pPr>
        <w:pStyle w:val="null3"/>
      </w:pPr>
      <w:r>
        <w:rPr>
          <w:rFonts w:ascii="仿宋_GB2312" w:hAnsi="仿宋_GB2312" w:cs="仿宋_GB2312" w:eastAsia="仿宋_GB2312"/>
        </w:rPr>
        <w:t>11、磋商保证金交纳凭证或担保函：磋商保证金交纳凭证或担保函；（保证金交纳凭证复印件或担保函复印件加盖公章）</w:t>
      </w:r>
    </w:p>
    <w:p>
      <w:pPr>
        <w:pStyle w:val="null3"/>
      </w:pPr>
      <w:r>
        <w:rPr>
          <w:rFonts w:ascii="仿宋_GB2312" w:hAnsi="仿宋_GB2312" w:cs="仿宋_GB2312" w:eastAsia="仿宋_GB2312"/>
        </w:rPr>
        <w:t>12、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书面承诺函，格式自拟加盖供应商公章）</w:t>
      </w:r>
    </w:p>
    <w:p>
      <w:pPr>
        <w:pStyle w:val="null3"/>
      </w:pPr>
      <w:r>
        <w:rPr>
          <w:rFonts w:ascii="仿宋_GB2312" w:hAnsi="仿宋_GB2312" w:cs="仿宋_GB2312" w:eastAsia="仿宋_GB2312"/>
        </w:rPr>
        <w:t>13、单位负责人为同一人或者存在直接控股、管理关系的不同供应商，不得参加同一合同项下的政府采购活动：单位负责人为同一人或者存在直接控股、管理关系的不同供应商，不得参加同一合同项下的政府采购活动；（提供书面承诺函，格式自拟加盖供应商公章）</w:t>
      </w:r>
    </w:p>
    <w:p>
      <w:pPr>
        <w:pStyle w:val="null3"/>
      </w:pPr>
      <w:r>
        <w:rPr>
          <w:rFonts w:ascii="仿宋_GB2312" w:hAnsi="仿宋_GB2312" w:cs="仿宋_GB2312" w:eastAsia="仿宋_GB2312"/>
        </w:rPr>
        <w:t>14、本项目不接受联合体磋商：本项目不接受联合体磋商。（提供书面承诺函，格式自拟加盖供应商公章）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渭南市华州区教育科学技术局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渭南市华州区子仪路东段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渭南市华州区教育科学技术局经办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0913-4733735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华招广和项目管理有限公司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西安市雁塔区西部国际广场B座2803室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秦工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029-87592321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华州区政府采购管理股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渭南市华州区政府采购管理股</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0913-4720669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采购包1：1,016,005.57元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开户名称：华招广和项目管理有限公司</w:t>
            </w:r>
          </w:p>
          <w:p>
            <w:pPr>
              <w:pStyle w:val="null3"/>
            </w:pPr>
            <w:r>
              <w:rPr>
                <w:rFonts w:ascii="仿宋_GB2312" w:hAnsi="仿宋_GB2312" w:cs="仿宋_GB2312" w:eastAsia="仿宋_GB2312"/>
              </w:rPr>
              <w:t>开户银行：中国建设银行股份有限公司西安金泰假日花城支行</w:t>
            </w:r>
          </w:p>
          <w:p>
            <w:pPr>
              <w:pStyle w:val="null3"/>
            </w:pPr>
            <w:r>
              <w:rPr>
                <w:rFonts w:ascii="仿宋_GB2312" w:hAnsi="仿宋_GB2312" w:cs="仿宋_GB2312" w:eastAsia="仿宋_GB2312"/>
              </w:rPr>
              <w:t>银行账号：6105 0186 5800 0000 0059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原《国家计委关于印发&lt;招标代理服务收费管理暂行办法&gt;的通知》(计价格〔2002〕1980号)、《国家发展改革委关于降低部分建设项目收费标准规范收费行为等有关问题的通知》(发改价格〔2011〕534号)以及财政部关于印发&lt;政府采购代理机构管理暂行办法&gt;的通知》（财库〔2018〕2号）规定执行。2、招标代理服务费应采用转账形式交纳。3、收款账户如下：收款单位：华招广和项目管理有限公司,开户银行：中国建设银行股份有限公司西安金泰假日花城支行,银行账号：6105 0186 5800 0000 0059。</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渭南市华州区教育科学技术局</w:t>
      </w:r>
      <w:r>
        <w:rPr>
          <w:rFonts w:ascii="仿宋_GB2312" w:hAnsi="仿宋_GB2312" w:cs="仿宋_GB2312" w:eastAsia="仿宋_GB2312"/>
        </w:rPr>
        <w:t>和</w:t>
      </w:r>
      <w:r>
        <w:rPr>
          <w:rFonts w:ascii="仿宋_GB2312" w:hAnsi="仿宋_GB2312" w:cs="仿宋_GB2312" w:eastAsia="仿宋_GB2312"/>
        </w:rPr>
        <w:t>华招广和项目管理有限公司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渭南市华州区教育科学技术局</w:t>
      </w:r>
      <w:r>
        <w:rPr>
          <w:rFonts w:ascii="仿宋_GB2312" w:hAnsi="仿宋_GB2312" w:cs="仿宋_GB2312" w:eastAsia="仿宋_GB2312"/>
        </w:rPr>
        <w:t>负责解释。除上述磋商文件内容，其他内容由</w:t>
      </w:r>
      <w:r>
        <w:rPr>
          <w:rFonts w:ascii="仿宋_GB2312" w:hAnsi="仿宋_GB2312" w:cs="仿宋_GB2312" w:eastAsia="仿宋_GB2312"/>
        </w:rPr>
        <w:t>华招广和项目管理有限公司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渭南市华州区教育科学技术局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华招广和项目管理有限公司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华招广和项目管理有限公司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华招广和项目管理有限公司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华招广和项目管理有限公司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联系人：秦工</w:t>
      </w:r>
    </w:p>
    <w:p>
      <w:pPr>
        <w:pStyle w:val="null3"/>
      </w:pPr>
      <w:r>
        <w:rPr>
          <w:rFonts w:ascii="仿宋_GB2312" w:hAnsi="仿宋_GB2312" w:cs="仿宋_GB2312" w:eastAsia="仿宋_GB2312"/>
        </w:rPr>
        <w:t>联系电话：029-87592321</w:t>
      </w:r>
    </w:p>
    <w:p>
      <w:pPr>
        <w:pStyle w:val="null3"/>
      </w:pPr>
      <w:r>
        <w:rPr>
          <w:rFonts w:ascii="仿宋_GB2312" w:hAnsi="仿宋_GB2312" w:cs="仿宋_GB2312" w:eastAsia="仿宋_GB2312"/>
        </w:rPr>
        <w:t>地址： 西安市雁塔区西部国际广场B座2803室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1,016,005.57</w:t>
      </w:r>
    </w:p>
    <w:p>
      <w:pPr>
        <w:pStyle w:val="null3"/>
      </w:pPr>
      <w:r>
        <w:rPr>
          <w:rFonts w:ascii="仿宋_GB2312" w:hAnsi="仿宋_GB2312" w:cs="仿宋_GB2312" w:eastAsia="仿宋_GB2312"/>
        </w:rPr>
        <w:t>采购包最高限价（元）: 1,016,005.57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渭南市华州区毓秀小学改造提升项目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1,016,005.57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标的名称：渭南市华州区毓秀小学改造提升项目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一、施工要求：</w:t>
            </w:r>
          </w:p>
          <w:p>
            <w:pPr>
              <w:pStyle w:val="null3"/>
              <w:ind w:firstLine="480"/>
              <w:jc w:val="both"/>
            </w:pPr>
            <w:r>
              <w:rPr>
                <w:rFonts w:ascii="仿宋_GB2312" w:hAnsi="仿宋_GB2312" w:cs="仿宋_GB2312" w:eastAsia="仿宋_GB2312"/>
              </w:rPr>
              <w:t>1、成交人在施工期间应严格遵守国家、省、市有关防火、爆破和施工安全以及文明施工、深夜施工、环卫和城管等规定，建立规章制度和防护措施, 应按安全施工的要求，采取严格科学的安全措施，确保施工安全和第三者的安全，确保工程质量和生产安全。否则，由此造成的经济和法律责任均由成交人负责。</w:t>
            </w:r>
          </w:p>
          <w:p>
            <w:pPr>
              <w:pStyle w:val="null3"/>
              <w:ind w:firstLine="480"/>
              <w:jc w:val="both"/>
            </w:pPr>
            <w:r>
              <w:rPr>
                <w:rFonts w:ascii="仿宋_GB2312" w:hAnsi="仿宋_GB2312" w:cs="仿宋_GB2312" w:eastAsia="仿宋_GB2312"/>
              </w:rPr>
              <w:t>2、成交人应配合项目建设进度,向采购人提供施工组织计划、进度计划和施工作业计划，并签订施工安全责任书。</w:t>
            </w:r>
          </w:p>
          <w:p>
            <w:pPr>
              <w:pStyle w:val="null3"/>
              <w:jc w:val="both"/>
            </w:pPr>
            <w:r>
              <w:rPr>
                <w:rFonts w:ascii="仿宋_GB2312" w:hAnsi="仿宋_GB2312" w:cs="仿宋_GB2312" w:eastAsia="仿宋_GB2312"/>
                <w:b/>
              </w:rPr>
              <w:t>二、质量保证：</w:t>
            </w:r>
          </w:p>
          <w:p>
            <w:pPr>
              <w:pStyle w:val="null3"/>
              <w:ind w:firstLine="480"/>
              <w:jc w:val="both"/>
            </w:pPr>
            <w:r>
              <w:rPr>
                <w:rFonts w:ascii="仿宋_GB2312" w:hAnsi="仿宋_GB2312" w:cs="仿宋_GB2312" w:eastAsia="仿宋_GB2312"/>
              </w:rPr>
              <w:t>工程质量达到国家现行施工验收规范合格标准，并符合采购文件、合同以及采购方使用需求。</w:t>
            </w:r>
          </w:p>
          <w:p>
            <w:pPr>
              <w:pStyle w:val="null3"/>
              <w:jc w:val="both"/>
            </w:pPr>
            <w:r>
              <w:rPr>
                <w:rFonts w:ascii="仿宋_GB2312" w:hAnsi="仿宋_GB2312" w:cs="仿宋_GB2312" w:eastAsia="仿宋_GB2312"/>
                <w:b/>
              </w:rPr>
              <w:t>三、工程量清单见附件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符合国家相关工程管理规定及行业标准。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满足国家现行有关设计规范、规程和地方法规、标准。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①本项目磋商一次，磋商后供应商根据磋商内容在规定时间通过交易系统递交磋商响应函，逾期未递交的视为自动放弃竞争，磋商保证金退还。②本项目采用两轮报价，响应文件中的报价为首次报价，磋商后的报价为最终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具有独立承担民事责任能力的法人、其他组织或自然人，提供供应商合法注册的法人或者其他组织的营业执照等证明文件、自然人的身份证明；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提供2024年1月1日至今任意一个月已缴纳的纳税证明或完税证明（包含增值税、企业所得税、营业税至少一种）；（依法免税的投标人应提供相关文件证明）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或2024年度财务报告（成立时间至磋商时间不足一年的可提供成立后任意时段的资产负债表）或磋商前六个月内其基本账户银行出具的资信证明（附开户许可证或基本账户证明）或政府采购信用担保机构出具的磋商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提供2024年1月1日至今任意一个月的社保缴费凭据或社保机构开具的社会保险参保缴费情况证明；（依法不需要缴纳社会保障资金的投标人应提供相关证明）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法定代表人或负责人资格证明书</w:t>
            </w:r>
          </w:p>
        </w:tc>
        <w:tc>
          <w:tcPr>
            <w:tcW w:type="dxa" w:w="3322"/>
          </w:tcPr>
          <w:p>
            <w:pPr>
              <w:pStyle w:val="null3"/>
            </w:pPr>
            <w:r>
              <w:rPr>
                <w:rFonts w:ascii="仿宋_GB2312" w:hAnsi="仿宋_GB2312" w:cs="仿宋_GB2312" w:eastAsia="仿宋_GB2312"/>
              </w:rPr>
              <w:t>法定代表人或负责人参与磋商时需提供法定代表人或负责人资格证明书（附法定代表人或负责人身份证复印件）；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法定代表人或负责人授权委托书</w:t>
            </w:r>
          </w:p>
        </w:tc>
        <w:tc>
          <w:tcPr>
            <w:tcW w:type="dxa" w:w="3322"/>
          </w:tcPr>
          <w:p>
            <w:pPr>
              <w:pStyle w:val="null3"/>
            </w:pPr>
            <w:r>
              <w:rPr>
                <w:rFonts w:ascii="仿宋_GB2312" w:hAnsi="仿宋_GB2312" w:cs="仿宋_GB2312" w:eastAsia="仿宋_GB2312"/>
              </w:rPr>
              <w:t>被授权人参与磋商时，需提供法定代表人或负责人资格证明书、法定代表人或负责人授权委托书（附法定代表人或负责人及被授权人身份证复印件）；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具备建设行政主管部门颁发的建筑工程施工总承包三级及以上（含三级）资质，并具有有效的安全生产许可证；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拟派项目经理具有建筑工程专业二级及以上注册建造师证书及有效的安全生产考核合格证（B证），且无在建项目（提供无在建承诺）；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磋商保证金交纳凭证或担保函</w:t>
            </w:r>
          </w:p>
        </w:tc>
        <w:tc>
          <w:tcPr>
            <w:tcW w:type="dxa" w:w="3322"/>
          </w:tcPr>
          <w:p>
            <w:pPr>
              <w:pStyle w:val="null3"/>
            </w:pPr>
            <w:r>
              <w:rPr>
                <w:rFonts w:ascii="仿宋_GB2312" w:hAnsi="仿宋_GB2312" w:cs="仿宋_GB2312" w:eastAsia="仿宋_GB2312"/>
              </w:rPr>
              <w:t>磋商保证金交纳凭证或担保函；（保证金交纳凭证复印件或担保函复印件加盖公章）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书面承诺函，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单位负责人为同一人或者存在直接控股、管理关系的不同供应商，不得参加同一合同项下的政府采购活动；（提供书面承诺函，格式自拟加盖供应商公章）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本项目不接受联合体磋商。（提供书面承诺函，格式自拟加盖供应商公章）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供应商名称应与营业执照、资质证书、安全生产许可证及获取磋商文件时相一致</w:t>
            </w:r>
          </w:p>
        </w:tc>
        <w:tc>
          <w:tcPr>
            <w:tcW w:type="dxa" w:w="1661"/>
          </w:tcPr>
          <w:p>
            <w:pPr>
              <w:pStyle w:val="null3"/>
            </w:pPr>
            <w:r>
              <w:rPr>
                <w:rFonts w:ascii="仿宋_GB2312" w:hAnsi="仿宋_GB2312" w:cs="仿宋_GB2312" w:eastAsia="仿宋_GB2312"/>
              </w:rPr>
              <w:t>响应文件封面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工期满足磋商文件规定</w:t>
            </w:r>
          </w:p>
        </w:tc>
        <w:tc>
          <w:tcPr>
            <w:tcW w:type="dxa" w:w="1661"/>
          </w:tcPr>
          <w:p>
            <w:pPr>
              <w:pStyle w:val="null3"/>
            </w:pPr>
            <w:r>
              <w:rPr>
                <w:rFonts w:ascii="仿宋_GB2312" w:hAnsi="仿宋_GB2312" w:cs="仿宋_GB2312" w:eastAsia="仿宋_GB2312"/>
              </w:rPr>
              <w:t>报价函 技术服务合同条款及其他商务要求应答表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磋商响应文件的计量单位、报价货币及签字盖章</w:t>
            </w:r>
          </w:p>
        </w:tc>
        <w:tc>
          <w:tcPr>
            <w:tcW w:type="dxa" w:w="3322"/>
          </w:tcPr>
          <w:p>
            <w:pPr>
              <w:pStyle w:val="null3"/>
            </w:pPr>
            <w:r>
              <w:rPr>
                <w:rFonts w:ascii="仿宋_GB2312" w:hAnsi="仿宋_GB2312" w:cs="仿宋_GB2312" w:eastAsia="仿宋_GB2312"/>
              </w:rPr>
              <w:t>磋商响应文件的计量单位、报价货币及签字盖章</w:t>
            </w:r>
          </w:p>
        </w:tc>
        <w:tc>
          <w:tcPr>
            <w:tcW w:type="dxa" w:w="1661"/>
          </w:tcPr>
          <w:p>
            <w:pPr>
              <w:pStyle w:val="null3"/>
            </w:pPr>
            <w:r>
              <w:rPr>
                <w:rFonts w:ascii="仿宋_GB2312" w:hAnsi="仿宋_GB2312" w:cs="仿宋_GB2312" w:eastAsia="仿宋_GB2312"/>
              </w:rPr>
              <w:t>响应文件封面 已标价工程量清单 报价函 标的清单 供应商承诺书.docx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法律、法规和招标文件中规定的其他实质性要求</w:t>
            </w:r>
          </w:p>
        </w:tc>
        <w:tc>
          <w:tcPr>
            <w:tcW w:type="dxa" w:w="1661"/>
          </w:tcPr>
          <w:p>
            <w:pPr>
              <w:pStyle w:val="null3"/>
            </w:pPr>
            <w:r>
              <w:rPr>
                <w:rFonts w:ascii="仿宋_GB2312" w:hAnsi="仿宋_GB2312" w:cs="仿宋_GB2312" w:eastAsia="仿宋_GB2312"/>
              </w:rPr>
              <w:t>已标价工程量清单 报价函 标的清单 技术服务合同条款及其他商务要求应答表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①组织措施详细，合理性、针对性强的得6分； ②组织措施有一定的可行性，基本满足项目需求，稍有欠缺的得4分； ③组织措施的合理性、针对性差，简单粗略得2分； ④未提供本项不计分。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①组织措施详细，合理性、针对性强的得6分； ②组织措施有一定的可行性，基本满足项目需求，稍有欠缺的得4分； ③组织措施的合理性、针对性差，简单粗略得2分； ④未提供本项不计分。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①组织措施详细，合理性、针对性强的得6分； ②组织措施有一定的可行性，基本满足项目需求，稍有欠缺的得4分； ③组织措施的合理性、针对性差，简单粗略得2分； ④未提供本项不计分。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①组织措施详细，合理性、针对性强的得6分； ②组织措施有一定的可行性，基本满足项目需求，稍有欠缺的得4分； ③组织措施的合理性、针对性差，简单粗略得2分； ④未提供本项不计分。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①方案内容全面完整，清晰合理，可行性及针对性强，计8分； ②方案内容完整，具备一定合理性及可行性，计6分； ③方案内容不够全面，合理性及可行性一般计4分； ④方案不合理，内容有欠缺且影响项目实施计2 分； ⑤未提供不计分。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施工机械及材料投入计划</w:t>
            </w:r>
          </w:p>
        </w:tc>
        <w:tc>
          <w:tcPr>
            <w:tcW w:type="dxa" w:w="2492"/>
          </w:tcPr>
          <w:p>
            <w:pPr>
              <w:pStyle w:val="null3"/>
            </w:pPr>
            <w:r>
              <w:rPr>
                <w:rFonts w:ascii="仿宋_GB2312" w:hAnsi="仿宋_GB2312" w:cs="仿宋_GB2312" w:eastAsia="仿宋_GB2312"/>
              </w:rPr>
              <w:t>①施工机械及材料投入充足、完善、合理，计6分； ②施工机械及材料投入基本完善、能满足项目需求，计4分； ③机械设备投入不足，计2分； ④未提供本项不计分。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①网络图或进度表内容详尽、安排合理且实施性强，计5分； ②网络图或进度表内容缺失，关键节点不明确，计2分； ③未提供本项不计分。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w:t>
            </w:r>
          </w:p>
        </w:tc>
        <w:tc>
          <w:tcPr>
            <w:tcW w:type="dxa" w:w="2492"/>
          </w:tcPr>
          <w:p>
            <w:pPr>
              <w:pStyle w:val="null3"/>
            </w:pPr>
            <w:r>
              <w:rPr>
                <w:rFonts w:ascii="仿宋_GB2312" w:hAnsi="仿宋_GB2312" w:cs="仿宋_GB2312" w:eastAsia="仿宋_GB2312"/>
              </w:rPr>
              <w:t>①计划安排科学合理，措施完善，计6分； ②计划安排较为合理，措施一般，计4分； ③计划安排仅有粗略框架无关键节点，计2分； ④未提供本项不计分。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项目经理部组织机构</w:t>
            </w:r>
          </w:p>
        </w:tc>
        <w:tc>
          <w:tcPr>
            <w:tcW w:type="dxa" w:w="2492"/>
          </w:tcPr>
          <w:p>
            <w:pPr>
              <w:pStyle w:val="null3"/>
            </w:pPr>
            <w:r>
              <w:rPr>
                <w:rFonts w:ascii="仿宋_GB2312" w:hAnsi="仿宋_GB2312" w:cs="仿宋_GB2312" w:eastAsia="仿宋_GB2312"/>
              </w:rPr>
              <w:t>①人员配备数量充足、分工明确、安排合理，计6分； ②人员分工安排相对合理，责任制度基本明确，计4分； ③人员分工安排欠缺，责任制度稍简单粗略得2分； ④未提供本项不计分。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以合同复印件形式提供供应商2022年1月1日至今类似业绩，每份计1分，计满5分为止。 注：供应商需提供采购合同（含施工内容页、签字盖章页）复印件，否则业绩不予认可。</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承诺及建议</w:t>
            </w:r>
          </w:p>
        </w:tc>
        <w:tc>
          <w:tcPr>
            <w:tcW w:type="dxa" w:w="2492"/>
          </w:tcPr>
          <w:p>
            <w:pPr>
              <w:pStyle w:val="null3"/>
            </w:pPr>
            <w:r>
              <w:rPr>
                <w:rFonts w:ascii="仿宋_GB2312" w:hAnsi="仿宋_GB2312" w:cs="仿宋_GB2312" w:eastAsia="仿宋_GB2312"/>
              </w:rPr>
              <w:t>完全承诺磋商文件和合同条款，并针对本项目实际需求提供实质性承诺或合理化建议。 ①服务承诺详细全面、措施及建议合理可行，计10分； ②服务承诺详细全面，无合理化建议，计7分； ③服务承诺仅有框架无具体措施，计4分； ④未提供的不计分。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