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0512E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本项目最高限价要求</w:t>
      </w:r>
    </w:p>
    <w:p w14:paraId="6C434F13">
      <w:pPr>
        <w:jc w:val="both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一标段（包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）：最高限价：</w:t>
      </w:r>
      <w:r>
        <w:rPr>
          <w:rFonts w:hint="eastAsia"/>
          <w:lang w:val="en-US" w:eastAsia="zh-CN"/>
        </w:rPr>
        <w:t>2190310.00元，</w:t>
      </w:r>
    </w:p>
    <w:p w14:paraId="6C40E5FF">
      <w:pPr>
        <w:ind w:firstLine="1960" w:firstLineChars="7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其中 大米最高限价：120元/袋，</w:t>
      </w:r>
    </w:p>
    <w:p w14:paraId="083EEAFB">
      <w:pPr>
        <w:ind w:firstLine="2520" w:firstLineChars="9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面粉最高限价：100元/袋，</w:t>
      </w:r>
    </w:p>
    <w:p w14:paraId="0A60A4B2">
      <w:pPr>
        <w:ind w:firstLine="2520" w:firstLineChars="900"/>
        <w:jc w:val="both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食用油最高限价：210元/桶。</w:t>
      </w:r>
    </w:p>
    <w:p w14:paraId="08CD6E5E">
      <w:pPr>
        <w:jc w:val="both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二标段（包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）：最高限价：</w:t>
      </w:r>
      <w:r>
        <w:rPr>
          <w:rFonts w:hint="eastAsia"/>
          <w:lang w:val="en-US" w:eastAsia="zh-CN"/>
        </w:rPr>
        <w:t>2238330.00元，</w:t>
      </w:r>
    </w:p>
    <w:p w14:paraId="09B37FAB">
      <w:pPr>
        <w:ind w:firstLine="1960" w:firstLineChars="7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其中 </w:t>
      </w:r>
      <w:bookmarkStart w:id="0" w:name="_GoBack"/>
      <w:bookmarkEnd w:id="0"/>
      <w:r>
        <w:rPr>
          <w:rFonts w:hint="eastAsia"/>
          <w:lang w:val="en-US" w:eastAsia="zh-CN"/>
        </w:rPr>
        <w:t>大米最高限价：120元/袋，</w:t>
      </w:r>
    </w:p>
    <w:p w14:paraId="4DB9F3D7">
      <w:pPr>
        <w:ind w:firstLine="2520" w:firstLineChars="9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面粉最高限价：100元/袋，</w:t>
      </w:r>
    </w:p>
    <w:p w14:paraId="375D3E06">
      <w:pPr>
        <w:ind w:firstLine="2520" w:firstLineChars="900"/>
        <w:jc w:val="both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食用油最高限价：210元/桶。</w:t>
      </w:r>
    </w:p>
    <w:p w14:paraId="2B22CD61">
      <w:pPr>
        <w:jc w:val="both"/>
        <w:rPr>
          <w:rFonts w:hint="eastAsia"/>
          <w:lang w:eastAsia="zh-CN"/>
        </w:rPr>
      </w:pPr>
      <w:r>
        <w:rPr>
          <w:rFonts w:hint="eastAsia" w:cs="Times New Roman"/>
          <w:lang w:val="en-US" w:eastAsia="zh-CN"/>
        </w:rPr>
        <w:t>三标段（包3）：</w:t>
      </w:r>
      <w:r>
        <w:rPr>
          <w:rFonts w:hint="eastAsia"/>
          <w:lang w:eastAsia="zh-CN"/>
        </w:rPr>
        <w:t>最高限价：3537608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5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eastAsia="zh-CN"/>
        </w:rPr>
        <w:t>元</w:t>
      </w:r>
    </w:p>
    <w:p w14:paraId="45D245BE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按照下浮率不低于2%进行报价。</w:t>
      </w:r>
    </w:p>
    <w:p w14:paraId="316F4E80">
      <w:pPr>
        <w:jc w:val="both"/>
        <w:rPr>
          <w:rFonts w:hint="eastAsia"/>
          <w:lang w:eastAsia="zh-CN"/>
        </w:rPr>
      </w:pPr>
      <w:r>
        <w:rPr>
          <w:rFonts w:hint="eastAsia" w:cs="Times New Roman"/>
          <w:lang w:val="en-US" w:eastAsia="zh-CN"/>
        </w:rPr>
        <w:t>四标段（包4）：</w:t>
      </w:r>
      <w:r>
        <w:rPr>
          <w:rFonts w:hint="eastAsia"/>
          <w:lang w:eastAsia="zh-CN"/>
        </w:rPr>
        <w:t>最高限价：3551454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6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eastAsia="zh-CN"/>
        </w:rPr>
        <w:t>元</w:t>
      </w:r>
    </w:p>
    <w:p w14:paraId="29A1C824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按照下浮率不低于2%进行报价。</w:t>
      </w:r>
    </w:p>
    <w:p w14:paraId="683F29C7">
      <w:pPr>
        <w:jc w:val="both"/>
        <w:rPr>
          <w:rFonts w:hint="eastAsia"/>
          <w:lang w:eastAsia="zh-CN"/>
        </w:rPr>
      </w:pPr>
      <w:r>
        <w:rPr>
          <w:rFonts w:hint="eastAsia" w:cs="Times New Roman"/>
          <w:lang w:val="en-US" w:eastAsia="zh-CN"/>
        </w:rPr>
        <w:t>五标段（包5）：</w:t>
      </w:r>
      <w:r>
        <w:rPr>
          <w:rFonts w:hint="eastAsia"/>
          <w:lang w:eastAsia="zh-CN"/>
        </w:rPr>
        <w:t>最高限价：568370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4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eastAsia="zh-CN"/>
        </w:rPr>
        <w:t>元</w:t>
      </w:r>
    </w:p>
    <w:p w14:paraId="7B0124D2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按照下浮率不低于2%进行报价。</w:t>
      </w:r>
    </w:p>
    <w:p w14:paraId="2826B5FE">
      <w:pPr>
        <w:jc w:val="both"/>
        <w:rPr>
          <w:rFonts w:hint="eastAsia"/>
          <w:lang w:eastAsia="zh-CN"/>
        </w:rPr>
      </w:pPr>
      <w:r>
        <w:rPr>
          <w:rFonts w:hint="eastAsia" w:cs="Times New Roman"/>
          <w:lang w:val="en-US" w:eastAsia="zh-CN"/>
        </w:rPr>
        <w:t>六标段（包6）：</w:t>
      </w:r>
      <w:r>
        <w:rPr>
          <w:rFonts w:hint="eastAsia"/>
          <w:lang w:eastAsia="zh-CN"/>
        </w:rPr>
        <w:t>最高限价：574321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8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eastAsia="zh-CN"/>
        </w:rPr>
        <w:t>元</w:t>
      </w:r>
    </w:p>
    <w:p w14:paraId="41CA6DBB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按照下浮率不低于2%进行报价。</w:t>
      </w:r>
    </w:p>
    <w:p w14:paraId="7F094CB1">
      <w:pPr>
        <w:jc w:val="both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七标段（包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）：最高限价：90058</w:t>
      </w:r>
      <w:r>
        <w:rPr>
          <w:rFonts w:hint="eastAsia"/>
          <w:lang w:val="en-US" w:eastAsia="zh-CN"/>
        </w:rPr>
        <w:t>0.00元，</w:t>
      </w:r>
    </w:p>
    <w:p w14:paraId="3A091193">
      <w:pPr>
        <w:jc w:val="both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            纯牛奶：</w:t>
      </w:r>
      <w:r>
        <w:rPr>
          <w:rFonts w:hint="eastAsia" w:cs="Times New Roman"/>
          <w:lang w:val="en-US" w:eastAsia="zh-CN"/>
        </w:rPr>
        <w:t>2元∕盒。</w:t>
      </w:r>
    </w:p>
    <w:p w14:paraId="4CFA6CF2">
      <w:pPr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本项目一标段、二标段、七标段为按照单价结算，供应商应提供单价和总价的报价，开标函和开标一览表中应填写总价；三标段、四标段、五标段、六标段按照下浮率进行报价，下浮率不低于2%，开标函和开标一览表中应填写下浮率。         </w:t>
      </w: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641FB"/>
    <w:rsid w:val="00EA61AD"/>
    <w:rsid w:val="02B97306"/>
    <w:rsid w:val="02C1356F"/>
    <w:rsid w:val="03541CED"/>
    <w:rsid w:val="036D2DAF"/>
    <w:rsid w:val="04BC3FEE"/>
    <w:rsid w:val="05704DD8"/>
    <w:rsid w:val="066F6E3E"/>
    <w:rsid w:val="068124B6"/>
    <w:rsid w:val="06D118A6"/>
    <w:rsid w:val="06FC4B75"/>
    <w:rsid w:val="09842C00"/>
    <w:rsid w:val="0C4B5C57"/>
    <w:rsid w:val="0CBB4B8B"/>
    <w:rsid w:val="0D464D9C"/>
    <w:rsid w:val="0D5D5C42"/>
    <w:rsid w:val="0DDF2AFB"/>
    <w:rsid w:val="0E3E3CC5"/>
    <w:rsid w:val="0F8B118C"/>
    <w:rsid w:val="0FC41FA8"/>
    <w:rsid w:val="0FE95EB3"/>
    <w:rsid w:val="10207B26"/>
    <w:rsid w:val="10CF50A9"/>
    <w:rsid w:val="11000F55"/>
    <w:rsid w:val="11002D49"/>
    <w:rsid w:val="12E60488"/>
    <w:rsid w:val="13685340"/>
    <w:rsid w:val="1398366B"/>
    <w:rsid w:val="13D824C6"/>
    <w:rsid w:val="17377504"/>
    <w:rsid w:val="17C76AD9"/>
    <w:rsid w:val="17E301A2"/>
    <w:rsid w:val="18283E16"/>
    <w:rsid w:val="18A137CE"/>
    <w:rsid w:val="19203221"/>
    <w:rsid w:val="193A32DB"/>
    <w:rsid w:val="19D61256"/>
    <w:rsid w:val="1A564145"/>
    <w:rsid w:val="1C6C3216"/>
    <w:rsid w:val="1FEA19E8"/>
    <w:rsid w:val="21090163"/>
    <w:rsid w:val="21494A03"/>
    <w:rsid w:val="21BF6A73"/>
    <w:rsid w:val="223A718F"/>
    <w:rsid w:val="22482F0D"/>
    <w:rsid w:val="23502079"/>
    <w:rsid w:val="236723FF"/>
    <w:rsid w:val="24AF4B7D"/>
    <w:rsid w:val="24B13F8C"/>
    <w:rsid w:val="25F5515A"/>
    <w:rsid w:val="2685203A"/>
    <w:rsid w:val="270F224B"/>
    <w:rsid w:val="27BC580C"/>
    <w:rsid w:val="285A74F6"/>
    <w:rsid w:val="29414B8A"/>
    <w:rsid w:val="29453D02"/>
    <w:rsid w:val="2DAF5BEE"/>
    <w:rsid w:val="2E7F6685"/>
    <w:rsid w:val="2F8F5CD7"/>
    <w:rsid w:val="2FC260AC"/>
    <w:rsid w:val="301B756B"/>
    <w:rsid w:val="30615592"/>
    <w:rsid w:val="30AE4883"/>
    <w:rsid w:val="32247147"/>
    <w:rsid w:val="338813BB"/>
    <w:rsid w:val="33D068BE"/>
    <w:rsid w:val="34313801"/>
    <w:rsid w:val="34EF0FC6"/>
    <w:rsid w:val="35B77D36"/>
    <w:rsid w:val="35E6061B"/>
    <w:rsid w:val="3BAB0D0E"/>
    <w:rsid w:val="3C996DB6"/>
    <w:rsid w:val="40204729"/>
    <w:rsid w:val="408A49C4"/>
    <w:rsid w:val="40C57937"/>
    <w:rsid w:val="4416031D"/>
    <w:rsid w:val="444430DC"/>
    <w:rsid w:val="45AA6F6F"/>
    <w:rsid w:val="460C53F9"/>
    <w:rsid w:val="476A2E5A"/>
    <w:rsid w:val="484E277B"/>
    <w:rsid w:val="48847F4B"/>
    <w:rsid w:val="48967C7F"/>
    <w:rsid w:val="48B93C8B"/>
    <w:rsid w:val="4B4C0AC8"/>
    <w:rsid w:val="4B55797D"/>
    <w:rsid w:val="4BDE7972"/>
    <w:rsid w:val="4C03562B"/>
    <w:rsid w:val="4D122BF3"/>
    <w:rsid w:val="4E0D2791"/>
    <w:rsid w:val="4EB4059E"/>
    <w:rsid w:val="4F3D39D2"/>
    <w:rsid w:val="4F561F16"/>
    <w:rsid w:val="504B75A0"/>
    <w:rsid w:val="50F30247"/>
    <w:rsid w:val="51085492"/>
    <w:rsid w:val="52C5363A"/>
    <w:rsid w:val="53426A39"/>
    <w:rsid w:val="53BA6F9B"/>
    <w:rsid w:val="54A13C33"/>
    <w:rsid w:val="55083CB2"/>
    <w:rsid w:val="57995095"/>
    <w:rsid w:val="58FA1B64"/>
    <w:rsid w:val="5980259E"/>
    <w:rsid w:val="5A6E6575"/>
    <w:rsid w:val="5AA1498D"/>
    <w:rsid w:val="5C3E7FB9"/>
    <w:rsid w:val="5EE44E48"/>
    <w:rsid w:val="60FA6BA5"/>
    <w:rsid w:val="642301C1"/>
    <w:rsid w:val="658F67AE"/>
    <w:rsid w:val="674C5C80"/>
    <w:rsid w:val="681D761D"/>
    <w:rsid w:val="689A76AB"/>
    <w:rsid w:val="6C7672FB"/>
    <w:rsid w:val="6CBD4F2A"/>
    <w:rsid w:val="6DCD186F"/>
    <w:rsid w:val="70D32F6E"/>
    <w:rsid w:val="71186201"/>
    <w:rsid w:val="73B726D3"/>
    <w:rsid w:val="75D270BD"/>
    <w:rsid w:val="79296C3A"/>
    <w:rsid w:val="79DE4E5E"/>
    <w:rsid w:val="7A1F7224"/>
    <w:rsid w:val="7C7970C0"/>
    <w:rsid w:val="7DCE343B"/>
    <w:rsid w:val="7DDF11A4"/>
    <w:rsid w:val="7E1F3C97"/>
    <w:rsid w:val="7ED625A7"/>
    <w:rsid w:val="7F5A7C9E"/>
    <w:rsid w:val="7F671451"/>
    <w:rsid w:val="7FAF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Calibri" w:hAnsi="Calibri" w:eastAsia="宋体" w:cs="Times New Roman"/>
      <w:kern w:val="1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Arial" w:hAnsi="Arial" w:eastAsia="宋体" w:cs="Times New Roman"/>
      <w:b/>
      <w:snapToGrid w:val="0"/>
      <w:color w:val="000000"/>
      <w:kern w:val="44"/>
      <w:sz w:val="44"/>
      <w:szCs w:val="32"/>
      <w:lang w:eastAsia="en-US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 w:val="0"/>
      <w:adjustRightInd w:val="0"/>
      <w:spacing w:line="360" w:lineRule="auto"/>
      <w:jc w:val="left"/>
      <w:outlineLvl w:val="1"/>
    </w:pPr>
    <w:rPr>
      <w:rFonts w:ascii="Times New Roman" w:hAnsi="Times New Roman" w:eastAsia="宋体" w:cs="Times New Roman"/>
      <w:b/>
      <w:color w:val="auto"/>
      <w:kern w:val="2"/>
      <w:sz w:val="30"/>
      <w:szCs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character" w:customStyle="1" w:styleId="9">
    <w:name w:val="标题 2 Char"/>
    <w:link w:val="3"/>
    <w:qFormat/>
    <w:uiPriority w:val="0"/>
    <w:rPr>
      <w:rFonts w:ascii="Times New Roman" w:hAnsi="Times New Roman" w:eastAsia="宋体" w:cs="Times New Roman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440</Characters>
  <Lines>0</Lines>
  <Paragraphs>0</Paragraphs>
  <TotalTime>0</TotalTime>
  <ScaleCrop>false</ScaleCrop>
  <LinksUpToDate>false</LinksUpToDate>
  <CharactersWithSpaces>527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2024-03-15T00:49:00Z</dcterms:created>
  <dc:creator>Administrator</dc:creator>
  <cp:lastModifiedBy>NTKO</cp:lastModifiedBy>
  <dcterms:modified xsi:type="dcterms:W3CDTF">2025-08-05T11:44:35Z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5BB17400D69149AAA5B3F7D8CAB7955A_12</vt:lpwstr>
  </property>
  <property fmtid="{D5CDD505-2E9C-101B-9397-08002B2CF9AE}" pid="4" name="KSOTemplateDocerSaveRecord">
    <vt:lpwstr>eyJoZGlkIjoiMTY4MDMwN2FjN2EzODkwZTJiNTc0MTE5OTc0Y2RiZTUiLCJ1c2VySWQiOiIxMzgxMzgxNzUwIn0=</vt:lpwstr>
  </property>
</Properties>
</file>