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版本号：TRHC2025-ZB-FW-06920250811001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渭南市华州区2025年野生动物危害监测防控与补偿项目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TRHC2025-ZB-FW-069</w:t>
      </w:r>
      <w:r>
        <w:br/>
      </w:r>
      <w:r>
        <w:br/>
      </w:r>
      <w:r>
        <w:br/>
      </w:r>
    </w:p>
    <w:p>
      <w:pPr>
        <w:pStyle w:val="null3"/>
        <w:jc w:val="center"/>
        <w:outlineLvl w:val="2"/>
      </w:pPr>
      <w:r>
        <w:rPr>
          <w:rFonts w:ascii="仿宋_GB2312" w:hAnsi="仿宋_GB2312" w:cs="仿宋_GB2312" w:eastAsia="仿宋_GB2312"/>
          <w:sz w:val="28"/>
          <w:b/>
        </w:rPr>
        <w:t>渭南市华州区林业局</w:t>
      </w:r>
    </w:p>
    <w:p>
      <w:pPr>
        <w:pStyle w:val="null3"/>
        <w:jc w:val="center"/>
        <w:outlineLvl w:val="2"/>
      </w:pPr>
      <w:r>
        <w:rPr>
          <w:rFonts w:ascii="仿宋_GB2312" w:hAnsi="仿宋_GB2312" w:cs="仿宋_GB2312" w:eastAsia="仿宋_GB2312"/>
          <w:sz w:val="28"/>
          <w:b/>
        </w:rPr>
        <w:t>陕西天润慧创项目咨询有限公司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陕西天润慧创项目咨询有限公司</w:t>
      </w:r>
      <w:r>
        <w:rPr>
          <w:rFonts w:ascii="仿宋_GB2312" w:hAnsi="仿宋_GB2312" w:cs="仿宋_GB2312" w:eastAsia="仿宋_GB2312"/>
        </w:rPr>
        <w:t>（以下简称“代理机构”）受</w:t>
      </w:r>
      <w:r>
        <w:rPr>
          <w:rFonts w:ascii="仿宋_GB2312" w:hAnsi="仿宋_GB2312" w:cs="仿宋_GB2312" w:eastAsia="仿宋_GB2312"/>
        </w:rPr>
        <w:t>渭南市华州区林业局</w:t>
      </w:r>
      <w:r>
        <w:rPr>
          <w:rFonts w:ascii="仿宋_GB2312" w:hAnsi="仿宋_GB2312" w:cs="仿宋_GB2312" w:eastAsia="仿宋_GB2312"/>
        </w:rPr>
        <w:t>委托，拟对</w:t>
      </w:r>
      <w:r>
        <w:rPr>
          <w:rFonts w:ascii="仿宋_GB2312" w:hAnsi="仿宋_GB2312" w:cs="仿宋_GB2312" w:eastAsia="仿宋_GB2312"/>
        </w:rPr>
        <w:t>渭南市华州区2025年野生动物危害监测防控与补偿项目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TRHC2025-ZB-FW-069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渭南市华州区2025年野生动物危害监测防控与补偿项目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1.在全区保护地之外秦岭区域及沿秦岭区域开展野猪危害防控，有效减少野猪对人畜安全和农林业生产的危害，狩猎野猪285头，并对285头野猪进行无害化处理。 2.对涉及环颈雉、蒙古兔、绿翅鸭、斑嘴鸭、赤麻鸭等野生动物危害农 作物严重的柳枝镇、莲花寺镇、下庙镇、赤水镇4个镇时堡、忠义、南寨等12个行政村，开展野生动物致害保险补助工作。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采购包1（渭南市华州区2025年野生动物危害监测防控与补偿项目一标段）：属于专门面向中小企业采购。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p>
      <w:pPr>
        <w:pStyle w:val="null3"/>
      </w:pPr>
      <w:r>
        <w:rPr>
          <w:rFonts w:ascii="仿宋_GB2312" w:hAnsi="仿宋_GB2312" w:cs="仿宋_GB2312" w:eastAsia="仿宋_GB2312"/>
        </w:rPr>
        <w:t>3、资格要求：供应商须具有中国保险监管机构出具的《经营保险业务许可证》（总公司取得的相关资质和指标，分支机构经总公司有效授权视为拥有同等资质和指标，每家总公司仅能授权一个分支机构或分公司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华州区新秦南路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0913-4731433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陕西天润慧创项目咨询有限公司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西安市西安经济技术开发区凤城二路27号天心大厦14层1402室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童工、田工、周工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029-86106855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采购包1：644,100.00元</w:t>
            </w:r>
          </w:p>
          <w:p>
            <w:pPr>
              <w:pStyle w:val="null3"/>
            </w:pPr>
            <w:r>
              <w:rPr>
                <w:rFonts w:ascii="仿宋_GB2312" w:hAnsi="仿宋_GB2312" w:cs="仿宋_GB2312" w:eastAsia="仿宋_GB2312"/>
              </w:rPr>
              <w:t>采购包2：105,900.00元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 号文和国家发改委发改办价格〔2003〕857 号文的计算方法收取中标单位的招标代理服务费，缴纳信息： 银行户名：陕西天润慧创项目咨询有限公司 开户银行：中国银行股份有限公司西安经济技术开发区支行 账 号：1037117403794 联系电话：029-86106855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渭南市华州区林业局</w:t>
      </w:r>
      <w:r>
        <w:rPr>
          <w:rFonts w:ascii="仿宋_GB2312" w:hAnsi="仿宋_GB2312" w:cs="仿宋_GB2312" w:eastAsia="仿宋_GB2312"/>
        </w:rPr>
        <w:t>和</w:t>
      </w:r>
      <w:r>
        <w:rPr>
          <w:rFonts w:ascii="仿宋_GB2312" w:hAnsi="仿宋_GB2312" w:cs="仿宋_GB2312" w:eastAsia="仿宋_GB2312"/>
        </w:rPr>
        <w:t>陕西天润慧创项目咨询有限公司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陕西天润慧创项目咨询有限公司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陕西天润慧创项目咨询有限公司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陕西天润慧创项目咨询有限公司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联系人：童工、田工、周工</w:t>
      </w:r>
    </w:p>
    <w:p>
      <w:pPr>
        <w:pStyle w:val="null3"/>
      </w:pPr>
      <w:r>
        <w:rPr>
          <w:rFonts w:ascii="仿宋_GB2312" w:hAnsi="仿宋_GB2312" w:cs="仿宋_GB2312" w:eastAsia="仿宋_GB2312"/>
        </w:rPr>
        <w:t>联系电话：02986106855</w:t>
      </w:r>
    </w:p>
    <w:p>
      <w:pPr>
        <w:pStyle w:val="null3"/>
      </w:pPr>
      <w:r>
        <w:rPr>
          <w:rFonts w:ascii="仿宋_GB2312" w:hAnsi="仿宋_GB2312" w:cs="仿宋_GB2312" w:eastAsia="仿宋_GB2312"/>
        </w:rPr>
        <w:t>地址：西安市西安经济技术开发区凤城二路27号天心大厦14层1402室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1.在全区保护地之外秦岭区域及沿秦岭区域开展野猪危害防控，有效减少野猪对人畜安全和农林业生产的危害，狩猎野猪285头，并对285头野猪进行无害化处理。 2.对涉及环颈雉、蒙古兔、绿翅鸭、斑嘴鸭、赤麻鸭等野生动物危害农作物严重的柳枝镇、莲花寺镇、下庙镇、赤水镇4个镇时堡、忠义、南寨等12个行政村，开展野生动物致害保险补助工作。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644,100.00</w:t>
      </w:r>
    </w:p>
    <w:p>
      <w:pPr>
        <w:pStyle w:val="null3"/>
      </w:pPr>
      <w:r>
        <w:rPr>
          <w:rFonts w:ascii="仿宋_GB2312" w:hAnsi="仿宋_GB2312" w:cs="仿宋_GB2312" w:eastAsia="仿宋_GB2312"/>
        </w:rPr>
        <w:t>采购包最高限价（元）: 644,100.00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渭南市华州区2025年野生动物危害监测防控与补偿项目一标段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644,100.00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105,900.00</w:t>
      </w:r>
    </w:p>
    <w:p>
      <w:pPr>
        <w:pStyle w:val="null3"/>
      </w:pPr>
      <w:r>
        <w:rPr>
          <w:rFonts w:ascii="仿宋_GB2312" w:hAnsi="仿宋_GB2312" w:cs="仿宋_GB2312" w:eastAsia="仿宋_GB2312"/>
        </w:rPr>
        <w:t>采购包最高限价（元）: 105,900.00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渭南市华州区2025年野生动物危害监测防控与补偿项目二标段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标的名称：渭南市华州区2025年野生动物危害监测防控与补偿项目一标段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2"/>
              <w:jc w:val="both"/>
            </w:pPr>
            <w:r>
              <w:rPr>
                <w:rFonts w:ascii="仿宋_GB2312" w:hAnsi="仿宋_GB2312" w:cs="仿宋_GB2312" w:eastAsia="仿宋_GB2312"/>
                <w:sz w:val="18"/>
              </w:rPr>
              <w:t>一、建设目标</w:t>
            </w:r>
          </w:p>
          <w:p>
            <w:pPr>
              <w:pStyle w:val="null3"/>
              <w:ind w:firstLine="642"/>
              <w:jc w:val="both"/>
            </w:pPr>
            <w:r>
              <w:rPr>
                <w:rFonts w:ascii="仿宋_GB2312" w:hAnsi="仿宋_GB2312" w:cs="仿宋_GB2312" w:eastAsia="仿宋_GB2312"/>
                <w:sz w:val="18"/>
                <w:color w:val="000000"/>
              </w:rPr>
              <w:t>通过野生动物狩猎和</w:t>
            </w:r>
            <w:r>
              <w:rPr>
                <w:rFonts w:ascii="仿宋_GB2312" w:hAnsi="仿宋_GB2312" w:cs="仿宋_GB2312" w:eastAsia="仿宋_GB2312"/>
                <w:sz w:val="18"/>
              </w:rPr>
              <w:t>野生动物致害保险补助</w:t>
            </w:r>
            <w:r>
              <w:rPr>
                <w:rFonts w:ascii="仿宋_GB2312" w:hAnsi="仿宋_GB2312" w:cs="仿宋_GB2312" w:eastAsia="仿宋_GB2312"/>
                <w:sz w:val="18"/>
                <w:color w:val="000000"/>
              </w:rPr>
              <w:t>工作，有效减轻野猪等野生动物对农作物危害，科学调控野猪等野生动物种群数量，维系生态平衡。</w:t>
            </w:r>
          </w:p>
          <w:p>
            <w:pPr>
              <w:pStyle w:val="null3"/>
              <w:ind w:firstLine="642"/>
              <w:jc w:val="both"/>
            </w:pPr>
            <w:r>
              <w:rPr>
                <w:rFonts w:ascii="仿宋_GB2312" w:hAnsi="仿宋_GB2312" w:cs="仿宋_GB2312" w:eastAsia="仿宋_GB2312"/>
                <w:sz w:val="18"/>
                <w:color w:val="000000"/>
              </w:rPr>
              <w:t>二、</w:t>
            </w:r>
            <w:r>
              <w:rPr>
                <w:rFonts w:ascii="仿宋_GB2312" w:hAnsi="仿宋_GB2312" w:cs="仿宋_GB2312" w:eastAsia="仿宋_GB2312"/>
                <w:sz w:val="18"/>
                <w:color w:val="000000"/>
              </w:rPr>
              <w:t>建设</w:t>
            </w:r>
            <w:r>
              <w:rPr>
                <w:rFonts w:ascii="仿宋_GB2312" w:hAnsi="仿宋_GB2312" w:cs="仿宋_GB2312" w:eastAsia="仿宋_GB2312"/>
                <w:sz w:val="18"/>
                <w:color w:val="000000"/>
              </w:rPr>
              <w:t>任务</w:t>
            </w:r>
          </w:p>
          <w:p>
            <w:pPr>
              <w:pStyle w:val="null3"/>
              <w:ind w:firstLine="642"/>
              <w:jc w:val="both"/>
            </w:pPr>
            <w:r>
              <w:rPr>
                <w:rFonts w:ascii="仿宋_GB2312" w:hAnsi="仿宋_GB2312" w:cs="仿宋_GB2312" w:eastAsia="仿宋_GB2312"/>
                <w:sz w:val="18"/>
                <w:color w:val="000000"/>
              </w:rPr>
              <w:t>1.在野猪损害较严重的秦岭山区及塬区</w:t>
            </w:r>
            <w:r>
              <w:rPr>
                <w:rFonts w:ascii="仿宋_GB2312" w:hAnsi="仿宋_GB2312" w:cs="仿宋_GB2312" w:eastAsia="仿宋_GB2312"/>
                <w:sz w:val="18"/>
                <w:color w:val="000000"/>
              </w:rPr>
              <w:t>开展</w:t>
            </w:r>
            <w:r>
              <w:rPr>
                <w:rFonts w:ascii="仿宋_GB2312" w:hAnsi="仿宋_GB2312" w:cs="仿宋_GB2312" w:eastAsia="仿宋_GB2312"/>
                <w:sz w:val="18"/>
              </w:rPr>
              <w:t>野猪危害防控，有效减少野猪对人畜安全和农林业生产的危害，狩猎野猪285头。</w:t>
            </w:r>
          </w:p>
          <w:p>
            <w:pPr>
              <w:pStyle w:val="null3"/>
              <w:ind w:firstLine="642"/>
              <w:jc w:val="both"/>
            </w:pPr>
            <w:r>
              <w:rPr>
                <w:rFonts w:ascii="仿宋_GB2312" w:hAnsi="仿宋_GB2312" w:cs="仿宋_GB2312" w:eastAsia="仿宋_GB2312"/>
                <w:sz w:val="18"/>
                <w:color w:val="000000"/>
              </w:rPr>
              <w:t>2.</w:t>
            </w:r>
            <w:r>
              <w:rPr>
                <w:rFonts w:ascii="仿宋_GB2312" w:hAnsi="仿宋_GB2312" w:cs="仿宋_GB2312" w:eastAsia="仿宋_GB2312"/>
                <w:sz w:val="18"/>
              </w:rPr>
              <w:t>对涉及环颈雉、蒙古兔、绿翅鸭、斑嘴鸭、赤麻鸭等野生动物危害农作物严重的赤水、下庙、柳枝、莲花寺4个镇</w:t>
            </w:r>
            <w:r>
              <w:rPr>
                <w:rFonts w:ascii="仿宋_GB2312" w:hAnsi="仿宋_GB2312" w:cs="仿宋_GB2312" w:eastAsia="仿宋_GB2312"/>
                <w:sz w:val="18"/>
                <w:color w:val="000000"/>
              </w:rPr>
              <w:t>的时堡、忠义、南寨等12个行政村，开展</w:t>
            </w:r>
            <w:r>
              <w:rPr>
                <w:rFonts w:ascii="仿宋_GB2312" w:hAnsi="仿宋_GB2312" w:cs="仿宋_GB2312" w:eastAsia="仿宋_GB2312"/>
                <w:sz w:val="18"/>
              </w:rPr>
              <w:t>野生动物致害保险补助工作</w:t>
            </w:r>
            <w:r>
              <w:rPr>
                <w:rFonts w:ascii="仿宋_GB2312" w:hAnsi="仿宋_GB2312" w:cs="仿宋_GB2312" w:eastAsia="仿宋_GB2312"/>
                <w:sz w:val="18"/>
                <w:color w:val="000000"/>
              </w:rPr>
              <w:t>。</w:t>
            </w:r>
          </w:p>
          <w:p>
            <w:pPr>
              <w:pStyle w:val="null3"/>
              <w:ind w:firstLine="642"/>
              <w:jc w:val="both"/>
            </w:pPr>
            <w:r>
              <w:rPr>
                <w:rFonts w:ascii="仿宋_GB2312" w:hAnsi="仿宋_GB2312" w:cs="仿宋_GB2312" w:eastAsia="仿宋_GB2312"/>
                <w:sz w:val="18"/>
              </w:rPr>
              <w:t>三、建设方案</w:t>
            </w:r>
          </w:p>
          <w:p>
            <w:pPr>
              <w:pStyle w:val="null3"/>
              <w:ind w:firstLine="642"/>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一</w:t>
            </w:r>
            <w:r>
              <w:rPr>
                <w:rFonts w:ascii="仿宋_GB2312" w:hAnsi="仿宋_GB2312" w:cs="仿宋_GB2312" w:eastAsia="仿宋_GB2312"/>
                <w:sz w:val="18"/>
                <w:color w:val="000000"/>
              </w:rPr>
              <w:t>）狩猎方案</w:t>
            </w:r>
          </w:p>
          <w:p>
            <w:pPr>
              <w:pStyle w:val="null3"/>
              <w:ind w:firstLine="642"/>
              <w:jc w:val="both"/>
            </w:pPr>
            <w:r>
              <w:rPr>
                <w:rFonts w:ascii="仿宋_GB2312" w:hAnsi="仿宋_GB2312" w:cs="仿宋_GB2312" w:eastAsia="仿宋_GB2312"/>
                <w:sz w:val="18"/>
                <w:color w:val="000000"/>
              </w:rPr>
              <w:t>在野猪损害较严重的秦岭山区及塬区</w:t>
            </w:r>
            <w:r>
              <w:rPr>
                <w:rFonts w:ascii="仿宋_GB2312" w:hAnsi="仿宋_GB2312" w:cs="仿宋_GB2312" w:eastAsia="仿宋_GB2312"/>
                <w:sz w:val="18"/>
                <w:color w:val="000000"/>
              </w:rPr>
              <w:t>开展</w:t>
            </w:r>
            <w:r>
              <w:rPr>
                <w:rFonts w:ascii="仿宋_GB2312" w:hAnsi="仿宋_GB2312" w:cs="仿宋_GB2312" w:eastAsia="仿宋_GB2312"/>
                <w:sz w:val="18"/>
              </w:rPr>
              <w:t>野猪危害防控，有效减少野猪对人畜安全和农林业生产的危害，狩猎野猪285头。</w:t>
            </w:r>
          </w:p>
          <w:p>
            <w:pPr>
              <w:pStyle w:val="null3"/>
              <w:ind w:firstLine="642"/>
              <w:jc w:val="both"/>
            </w:pPr>
            <w:r>
              <w:rPr>
                <w:rFonts w:ascii="仿宋_GB2312" w:hAnsi="仿宋_GB2312" w:cs="仿宋_GB2312" w:eastAsia="仿宋_GB2312"/>
                <w:sz w:val="18"/>
              </w:rPr>
              <w:t>1、组织领导</w:t>
            </w:r>
          </w:p>
          <w:p>
            <w:pPr>
              <w:pStyle w:val="null3"/>
              <w:ind w:firstLine="642"/>
              <w:jc w:val="both"/>
            </w:pPr>
            <w:r>
              <w:rPr>
                <w:rFonts w:ascii="仿宋_GB2312" w:hAnsi="仿宋_GB2312" w:cs="仿宋_GB2312" w:eastAsia="仿宋_GB2312"/>
                <w:sz w:val="18"/>
              </w:rPr>
              <w:t>成立由区政府主管副区长为组长，公安华州分局分管领导、区林业局局长为副组长，公安华州分局、区林业局、农业农村局、区应急局及各镇政府分管负责同志为成员的野猪狩猎领导小组，领导小组办公室设在区林业局，林业局局长兼任办公室主任。领导小组负责具体组织本区城内的防控、狩猎工作。</w:t>
            </w:r>
          </w:p>
          <w:p>
            <w:pPr>
              <w:pStyle w:val="null3"/>
              <w:ind w:firstLine="642"/>
              <w:jc w:val="both"/>
            </w:pPr>
            <w:r>
              <w:rPr>
                <w:rFonts w:ascii="仿宋_GB2312" w:hAnsi="仿宋_GB2312" w:cs="仿宋_GB2312" w:eastAsia="仿宋_GB2312"/>
                <w:sz w:val="18"/>
              </w:rPr>
              <w:t>2、行动时间及狩猎方式</w:t>
            </w:r>
          </w:p>
          <w:p>
            <w:pPr>
              <w:pStyle w:val="null3"/>
              <w:ind w:firstLine="642"/>
              <w:jc w:val="both"/>
            </w:pPr>
            <w:r>
              <w:rPr>
                <w:rFonts w:ascii="仿宋_GB2312" w:hAnsi="仿宋_GB2312" w:cs="仿宋_GB2312" w:eastAsia="仿宋_GB2312"/>
                <w:sz w:val="18"/>
              </w:rPr>
              <w:t>行动时间：合同签订之日起至2025年12月31日。</w:t>
            </w:r>
          </w:p>
          <w:p>
            <w:pPr>
              <w:pStyle w:val="null3"/>
              <w:ind w:firstLine="642"/>
              <w:jc w:val="both"/>
            </w:pPr>
            <w:r>
              <w:rPr>
                <w:rFonts w:ascii="仿宋_GB2312" w:hAnsi="仿宋_GB2312" w:cs="仿宋_GB2312" w:eastAsia="仿宋_GB2312"/>
                <w:sz w:val="18"/>
              </w:rPr>
              <w:t>狩猎方式：猎犬辅助，人犬协同。</w:t>
            </w:r>
          </w:p>
          <w:p>
            <w:pPr>
              <w:pStyle w:val="null3"/>
              <w:ind w:firstLine="642"/>
              <w:jc w:val="both"/>
            </w:pPr>
            <w:r>
              <w:rPr>
                <w:rFonts w:ascii="仿宋_GB2312" w:hAnsi="仿宋_GB2312" w:cs="仿宋_GB2312" w:eastAsia="仿宋_GB2312"/>
                <w:sz w:val="18"/>
              </w:rPr>
              <w:t>3、责任分工</w:t>
            </w:r>
          </w:p>
          <w:p>
            <w:pPr>
              <w:pStyle w:val="null3"/>
              <w:ind w:firstLine="642"/>
              <w:jc w:val="both"/>
            </w:pPr>
            <w:r>
              <w:rPr>
                <w:rFonts w:ascii="仿宋_GB2312" w:hAnsi="仿宋_GB2312" w:cs="仿宋_GB2312" w:eastAsia="仿宋_GB2312"/>
                <w:sz w:val="18"/>
              </w:rPr>
              <w:t>区林业局：负责制定工作实施方案;负责猎捕调控计划制定等；负责对猎捕工作监督管理。</w:t>
            </w:r>
          </w:p>
          <w:p>
            <w:pPr>
              <w:pStyle w:val="null3"/>
              <w:ind w:firstLine="642"/>
              <w:jc w:val="both"/>
            </w:pPr>
            <w:r>
              <w:rPr>
                <w:rFonts w:ascii="仿宋_GB2312" w:hAnsi="仿宋_GB2312" w:cs="仿宋_GB2312" w:eastAsia="仿宋_GB2312"/>
                <w:sz w:val="18"/>
              </w:rPr>
              <w:t>公安华州分局：负责对猎捕工作监督管理。</w:t>
            </w:r>
          </w:p>
          <w:p>
            <w:pPr>
              <w:pStyle w:val="null3"/>
              <w:ind w:firstLine="642"/>
              <w:jc w:val="both"/>
            </w:pPr>
            <w:r>
              <w:rPr>
                <w:rFonts w:ascii="仿宋_GB2312" w:hAnsi="仿宋_GB2312" w:cs="仿宋_GB2312" w:eastAsia="仿宋_GB2312"/>
                <w:sz w:val="18"/>
              </w:rPr>
              <w:t>区农业农村局：负责猎获物检疫检测；指导群众做好集中连片农耕区野猪等野生动物危害防控生产设施的修建和农作物种植品种的调整。</w:t>
            </w:r>
          </w:p>
          <w:p>
            <w:pPr>
              <w:pStyle w:val="null3"/>
              <w:ind w:firstLine="642"/>
              <w:jc w:val="both"/>
            </w:pPr>
            <w:r>
              <w:rPr>
                <w:rFonts w:ascii="仿宋_GB2312" w:hAnsi="仿宋_GB2312" w:cs="仿宋_GB2312" w:eastAsia="仿宋_GB2312"/>
                <w:sz w:val="18"/>
              </w:rPr>
              <w:t>区应急管理局局：负责突发事件的应急处置工作。</w:t>
            </w:r>
          </w:p>
          <w:p>
            <w:pPr>
              <w:pStyle w:val="null3"/>
              <w:ind w:firstLine="642"/>
              <w:jc w:val="both"/>
            </w:pPr>
            <w:r>
              <w:rPr>
                <w:rFonts w:ascii="仿宋_GB2312" w:hAnsi="仿宋_GB2312" w:cs="仿宋_GB2312" w:eastAsia="仿宋_GB2312"/>
                <w:sz w:val="18"/>
              </w:rPr>
              <w:t>沿山各镇：制定本镇切实可行的猎捕野猪工作方案，明确狩猎队人员组成、人身意外伤害保险办理、狩猎队伍管理、狩猎安全等。严格按照工作方案开展狩猎野猪工作。做好狩猎野猪处置工作。</w:t>
            </w:r>
          </w:p>
          <w:p>
            <w:pPr>
              <w:pStyle w:val="null3"/>
              <w:ind w:firstLine="517"/>
              <w:jc w:val="both"/>
            </w:pPr>
            <w:r>
              <w:rPr>
                <w:rFonts w:ascii="仿宋_GB2312" w:hAnsi="仿宋_GB2312" w:cs="仿宋_GB2312" w:eastAsia="仿宋_GB2312"/>
                <w:sz w:val="18"/>
                <w:color w:val="000000"/>
                <w:shd w:fill="FFFFFF" w:val="clear"/>
              </w:rPr>
              <w:t>4、相关要求</w:t>
            </w:r>
          </w:p>
          <w:p>
            <w:pPr>
              <w:pStyle w:val="null3"/>
              <w:ind w:firstLine="666"/>
              <w:jc w:val="both"/>
            </w:pPr>
            <w:r>
              <w:rPr>
                <w:rFonts w:ascii="仿宋_GB2312" w:hAnsi="仿宋_GB2312" w:cs="仿宋_GB2312" w:eastAsia="仿宋_GB2312"/>
                <w:sz w:val="18"/>
                <w:color w:val="000000"/>
                <w:shd w:fill="FFFFFF" w:val="clear"/>
              </w:rPr>
              <w:t>（1）</w:t>
            </w:r>
            <w:r>
              <w:rPr>
                <w:rFonts w:ascii="仿宋_GB2312" w:hAnsi="仿宋_GB2312" w:cs="仿宋_GB2312" w:eastAsia="仿宋_GB2312"/>
                <w:sz w:val="18"/>
                <w:color w:val="000000"/>
                <w:shd w:fill="FFFFFF" w:val="clear"/>
              </w:rPr>
              <w:t>狩猎团队</w:t>
            </w:r>
            <w:r>
              <w:rPr>
                <w:rFonts w:ascii="仿宋_GB2312" w:hAnsi="仿宋_GB2312" w:cs="仿宋_GB2312" w:eastAsia="仿宋_GB2312"/>
                <w:sz w:val="18"/>
                <w:color w:val="000000"/>
                <w:shd w:fill="FFFFFF" w:val="clear"/>
              </w:rPr>
              <w:t>需办理</w:t>
            </w:r>
            <w:r>
              <w:rPr>
                <w:rFonts w:ascii="仿宋_GB2312" w:hAnsi="仿宋_GB2312" w:cs="仿宋_GB2312" w:eastAsia="仿宋_GB2312"/>
                <w:sz w:val="18"/>
                <w:color w:val="000000"/>
                <w:shd w:fill="FFFFFF" w:val="clear"/>
              </w:rPr>
              <w:t>备案</w:t>
            </w:r>
            <w:r>
              <w:rPr>
                <w:rFonts w:ascii="仿宋_GB2312" w:hAnsi="仿宋_GB2312" w:cs="仿宋_GB2312" w:eastAsia="仿宋_GB2312"/>
                <w:sz w:val="18"/>
                <w:color w:val="000000"/>
                <w:shd w:fill="FFFFFF" w:val="clear"/>
              </w:rPr>
              <w:t>手续</w:t>
            </w:r>
            <w:r>
              <w:rPr>
                <w:rFonts w:ascii="仿宋_GB2312" w:hAnsi="仿宋_GB2312" w:cs="仿宋_GB2312" w:eastAsia="仿宋_GB2312"/>
                <w:sz w:val="18"/>
                <w:color w:val="000000"/>
                <w:shd w:fill="FFFFFF" w:val="clear"/>
              </w:rPr>
              <w:t>，备案</w:t>
            </w:r>
            <w:r>
              <w:rPr>
                <w:rFonts w:ascii="仿宋_GB2312" w:hAnsi="仿宋_GB2312" w:cs="仿宋_GB2312" w:eastAsia="仿宋_GB2312"/>
                <w:sz w:val="18"/>
                <w:color w:val="000000"/>
                <w:shd w:fill="FFFFFF" w:val="clear"/>
              </w:rPr>
              <w:t>须逐级申请，填写《</w:t>
            </w:r>
            <w:r>
              <w:rPr>
                <w:rFonts w:ascii="仿宋_GB2312" w:hAnsi="仿宋_GB2312" w:cs="仿宋_GB2312" w:eastAsia="仿宋_GB2312"/>
                <w:sz w:val="18"/>
                <w:color w:val="000000"/>
              </w:rPr>
              <w:t>狩猎野猪</w:t>
            </w:r>
            <w:r>
              <w:rPr>
                <w:rFonts w:ascii="仿宋_GB2312" w:hAnsi="仿宋_GB2312" w:cs="仿宋_GB2312" w:eastAsia="仿宋_GB2312"/>
                <w:sz w:val="18"/>
                <w:color w:val="000000"/>
              </w:rPr>
              <w:t>申请表</w:t>
            </w:r>
            <w:r>
              <w:rPr>
                <w:rFonts w:ascii="仿宋_GB2312" w:hAnsi="仿宋_GB2312" w:cs="仿宋_GB2312" w:eastAsia="仿宋_GB2312"/>
                <w:sz w:val="18"/>
                <w:color w:val="000000"/>
                <w:shd w:fill="FFFFFF" w:val="clear"/>
              </w:rPr>
              <w:t>》（一式三份，一份交所在镇、一份由区林业局存档，一份由狩猎队长持有），递交《承诺书》和全体狩猎队员人身意外</w:t>
            </w:r>
            <w:r>
              <w:rPr>
                <w:rFonts w:ascii="仿宋_GB2312" w:hAnsi="仿宋_GB2312" w:cs="仿宋_GB2312" w:eastAsia="仿宋_GB2312"/>
                <w:sz w:val="18"/>
              </w:rPr>
              <w:t>伤害</w:t>
            </w:r>
            <w:r>
              <w:rPr>
                <w:rFonts w:ascii="仿宋_GB2312" w:hAnsi="仿宋_GB2312" w:cs="仿宋_GB2312" w:eastAsia="仿宋_GB2312"/>
                <w:sz w:val="18"/>
                <w:color w:val="000000"/>
                <w:shd w:fill="FFFFFF" w:val="clear"/>
              </w:rPr>
              <w:t>保险凭证。</w:t>
            </w:r>
          </w:p>
          <w:p>
            <w:pPr>
              <w:pStyle w:val="null3"/>
              <w:ind w:firstLine="642"/>
              <w:jc w:val="both"/>
            </w:pPr>
            <w:r>
              <w:rPr>
                <w:rFonts w:ascii="仿宋_GB2312" w:hAnsi="仿宋_GB2312" w:cs="仿宋_GB2312" w:eastAsia="仿宋_GB2312"/>
                <w:sz w:val="18"/>
              </w:rPr>
              <w:t>（2）要严格按照</w:t>
            </w:r>
            <w:r>
              <w:rPr>
                <w:rFonts w:ascii="仿宋_GB2312" w:hAnsi="仿宋_GB2312" w:cs="仿宋_GB2312" w:eastAsia="仿宋_GB2312"/>
                <w:sz w:val="18"/>
                <w:color w:val="000000"/>
                <w:shd w:fill="FFFFFF" w:val="clear"/>
              </w:rPr>
              <w:t>《中华人民共和国野生动物保护法》和《陕西省实施中华人民共和国野生动物保护法办法》及《陕西省林业局关于调整野猪禁猎期的通告》规定，禁止使用禁用工具、方法猎捕野猪。</w:t>
            </w:r>
            <w:r>
              <w:rPr>
                <w:rFonts w:ascii="仿宋_GB2312" w:hAnsi="仿宋_GB2312" w:cs="仿宋_GB2312" w:eastAsia="仿宋_GB2312"/>
                <w:sz w:val="18"/>
                <w:color w:val="000000"/>
                <w:shd w:fill="FFFFFF" w:val="clear"/>
              </w:rPr>
              <w:t>猎获野猪严禁食用</w:t>
            </w:r>
            <w:r>
              <w:rPr>
                <w:rFonts w:ascii="仿宋_GB2312" w:hAnsi="仿宋_GB2312" w:cs="仿宋_GB2312" w:eastAsia="仿宋_GB2312"/>
                <w:sz w:val="18"/>
                <w:color w:val="000000"/>
                <w:shd w:fill="FFFFFF" w:val="clear"/>
              </w:rPr>
              <w:t>。</w:t>
            </w:r>
          </w:p>
          <w:p>
            <w:pPr>
              <w:pStyle w:val="null3"/>
              <w:ind w:firstLine="666"/>
              <w:jc w:val="both"/>
            </w:pPr>
            <w:r>
              <w:rPr>
                <w:rFonts w:ascii="仿宋_GB2312" w:hAnsi="仿宋_GB2312" w:cs="仿宋_GB2312" w:eastAsia="仿宋_GB2312"/>
                <w:sz w:val="18"/>
                <w:color w:val="000000"/>
                <w:shd w:fill="FFFFFF" w:val="clear"/>
              </w:rPr>
              <w:t>（3）</w:t>
            </w:r>
            <w:r>
              <w:rPr>
                <w:rFonts w:ascii="仿宋_GB2312" w:hAnsi="仿宋_GB2312" w:cs="仿宋_GB2312" w:eastAsia="仿宋_GB2312"/>
                <w:sz w:val="18"/>
                <w:color w:val="000000"/>
                <w:shd w:fill="FFFFFF" w:val="clear"/>
              </w:rPr>
              <w:t>猎获的野猪，要拍摄带位置坐标现场照片，</w:t>
            </w:r>
            <w:r>
              <w:rPr>
                <w:rFonts w:ascii="仿宋_GB2312" w:hAnsi="仿宋_GB2312" w:cs="仿宋_GB2312" w:eastAsia="仿宋_GB2312"/>
                <w:sz w:val="18"/>
                <w:color w:val="000000"/>
                <w:shd w:fill="FFFFFF" w:val="clear"/>
              </w:rPr>
              <w:t>并</w:t>
            </w:r>
            <w:r>
              <w:rPr>
                <w:rFonts w:ascii="仿宋_GB2312" w:hAnsi="仿宋_GB2312" w:cs="仿宋_GB2312" w:eastAsia="仿宋_GB2312"/>
                <w:sz w:val="18"/>
                <w:color w:val="000000"/>
                <w:shd w:fill="FFFFFF" w:val="clear"/>
              </w:rPr>
              <w:t>于当天（24小时内）将野猪送交到指定无害化处置地点，由处置单位统一进行无害化处置。</w:t>
            </w:r>
            <w:r>
              <w:rPr>
                <w:rFonts w:ascii="仿宋_GB2312" w:hAnsi="仿宋_GB2312" w:cs="仿宋_GB2312" w:eastAsia="仿宋_GB2312"/>
                <w:sz w:val="18"/>
                <w:color w:val="000000"/>
                <w:shd w:fill="FFFFFF" w:val="clear"/>
              </w:rPr>
              <w:t>要</w:t>
            </w:r>
            <w:r>
              <w:rPr>
                <w:rFonts w:ascii="仿宋_GB2312" w:hAnsi="仿宋_GB2312" w:cs="仿宋_GB2312" w:eastAsia="仿宋_GB2312"/>
                <w:sz w:val="18"/>
                <w:color w:val="000000"/>
                <w:shd w:fill="FFFFFF" w:val="clear"/>
              </w:rPr>
              <w:t>规范填写《野猪猎获物一猪一表确认单》，</w:t>
            </w:r>
            <w:r>
              <w:rPr>
                <w:rFonts w:ascii="仿宋_GB2312" w:hAnsi="仿宋_GB2312" w:cs="仿宋_GB2312" w:eastAsia="仿宋_GB2312"/>
                <w:sz w:val="18"/>
                <w:color w:val="000000"/>
                <w:shd w:fill="FFFFFF" w:val="clear"/>
              </w:rPr>
              <w:t>经所在镇、</w:t>
            </w:r>
            <w:r>
              <w:rPr>
                <w:rFonts w:ascii="仿宋_GB2312" w:hAnsi="仿宋_GB2312" w:cs="仿宋_GB2312" w:eastAsia="仿宋_GB2312"/>
                <w:sz w:val="18"/>
                <w:color w:val="000000"/>
                <w:shd w:fill="FFFFFF" w:val="clear"/>
              </w:rPr>
              <w:t>区林业局</w:t>
            </w:r>
            <w:r>
              <w:rPr>
                <w:rFonts w:ascii="仿宋_GB2312" w:hAnsi="仿宋_GB2312" w:cs="仿宋_GB2312" w:eastAsia="仿宋_GB2312"/>
                <w:sz w:val="18"/>
                <w:color w:val="000000"/>
                <w:shd w:fill="FFFFFF" w:val="clear"/>
              </w:rPr>
              <w:t>、处置单位审查确认签字加盖公章</w:t>
            </w:r>
            <w:r>
              <w:rPr>
                <w:rFonts w:ascii="仿宋_GB2312" w:hAnsi="仿宋_GB2312" w:cs="仿宋_GB2312" w:eastAsia="仿宋_GB2312"/>
                <w:sz w:val="18"/>
                <w:color w:val="000000"/>
                <w:shd w:fill="FFFFFF" w:val="clear"/>
              </w:rPr>
              <w:t>。</w:t>
            </w:r>
            <w:r>
              <w:rPr>
                <w:rFonts w:ascii="仿宋_GB2312" w:hAnsi="仿宋_GB2312" w:cs="仿宋_GB2312" w:eastAsia="仿宋_GB2312"/>
                <w:sz w:val="18"/>
                <w:color w:val="000000"/>
                <w:shd w:fill="FFFFFF" w:val="clear"/>
              </w:rPr>
              <w:t>不得将狩猎视频、影像资料通过自媒体对外发布</w:t>
            </w:r>
            <w:r>
              <w:rPr>
                <w:rFonts w:ascii="仿宋_GB2312" w:hAnsi="仿宋_GB2312" w:cs="仿宋_GB2312" w:eastAsia="仿宋_GB2312"/>
                <w:sz w:val="18"/>
                <w:color w:val="000000"/>
                <w:shd w:fill="FFFFFF" w:val="clear"/>
              </w:rPr>
              <w:t>。</w:t>
            </w:r>
          </w:p>
          <w:p>
            <w:pPr>
              <w:pStyle w:val="null3"/>
              <w:ind w:firstLine="642"/>
              <w:jc w:val="both"/>
            </w:pPr>
            <w:r>
              <w:rPr>
                <w:rFonts w:ascii="仿宋_GB2312" w:hAnsi="仿宋_GB2312" w:cs="仿宋_GB2312" w:eastAsia="仿宋_GB2312"/>
                <w:sz w:val="18"/>
              </w:rPr>
              <w:t>5、狩猎流程图</w:t>
            </w:r>
          </w:p>
          <w:p>
            <w:pPr>
              <w:pStyle w:val="null3"/>
              <w:ind w:firstLine="642"/>
              <w:jc w:val="both"/>
            </w:pPr>
            <w:r>
              <w:drawing>
                <wp:inline distT="0" distR="0" distB="0" distL="0">
                  <wp:extent cx="1621155" cy="31220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312201"/>
                          </a:xfrm>
                          <a:prstGeom prst="rect">
                            <a:avLst/>
                          </a:prstGeom>
                        </pic:spPr>
                      </pic:pic>
                    </a:graphicData>
                  </a:graphic>
                </wp:inline>
              </w:drawing>
            </w:r>
          </w:p>
          <w:p>
            <w:pPr>
              <w:pStyle w:val="null3"/>
              <w:ind w:firstLine="642"/>
              <w:jc w:val="both"/>
            </w:pPr>
            <w:r>
              <w:rPr>
                <w:rFonts w:ascii="仿宋_GB2312" w:hAnsi="仿宋_GB2312" w:cs="仿宋_GB2312" w:eastAsia="仿宋_GB2312"/>
                <w:sz w:val="18"/>
              </w:rPr>
              <w:t>（二）野猪无害化处理</w:t>
            </w:r>
          </w:p>
          <w:p>
            <w:pPr>
              <w:pStyle w:val="null3"/>
              <w:ind w:firstLine="642"/>
              <w:jc w:val="both"/>
            </w:pPr>
            <w:r>
              <w:rPr>
                <w:rFonts w:ascii="仿宋_GB2312" w:hAnsi="仿宋_GB2312" w:cs="仿宋_GB2312" w:eastAsia="仿宋_GB2312"/>
                <w:sz w:val="18"/>
                <w:color w:val="000000"/>
              </w:rPr>
              <w:t>由专业无害化处理机构按照国家农业部发布的《</w:t>
            </w:r>
            <w:r>
              <w:rPr>
                <w:rFonts w:ascii="仿宋_GB2312" w:hAnsi="仿宋_GB2312" w:cs="仿宋_GB2312" w:eastAsia="仿宋_GB2312"/>
                <w:sz w:val="18"/>
                <w:color w:val="000000"/>
              </w:rPr>
              <w:t>病死动物无害化处理技术规范</w:t>
            </w:r>
            <w:r>
              <w:rPr>
                <w:rFonts w:ascii="仿宋_GB2312" w:hAnsi="仿宋_GB2312" w:cs="仿宋_GB2312" w:eastAsia="仿宋_GB2312"/>
                <w:sz w:val="18"/>
                <w:color w:val="000000"/>
              </w:rPr>
              <w:t>》要求进行无害化处理</w:t>
            </w:r>
            <w:r>
              <w:rPr>
                <w:rFonts w:ascii="仿宋_GB2312" w:hAnsi="仿宋_GB2312" w:cs="仿宋_GB2312" w:eastAsia="仿宋_GB2312"/>
                <w:sz w:val="18"/>
              </w:rPr>
              <w:t>。</w:t>
            </w:r>
          </w:p>
          <w:p>
            <w:pPr>
              <w:pStyle w:val="null3"/>
              <w:ind w:firstLine="642"/>
              <w:jc w:val="both"/>
            </w:pPr>
            <w:r>
              <w:rPr>
                <w:rFonts w:ascii="仿宋_GB2312" w:hAnsi="仿宋_GB2312" w:cs="仿宋_GB2312" w:eastAsia="仿宋_GB2312"/>
                <w:sz w:val="18"/>
              </w:rPr>
              <w:t>（三）野生动物致害保险补助</w:t>
            </w:r>
          </w:p>
          <w:p>
            <w:pPr>
              <w:pStyle w:val="null3"/>
              <w:ind w:firstLine="642"/>
              <w:jc w:val="both"/>
            </w:pPr>
            <w:r>
              <w:rPr>
                <w:rFonts w:ascii="仿宋_GB2312" w:hAnsi="仿宋_GB2312" w:cs="仿宋_GB2312" w:eastAsia="仿宋_GB2312"/>
                <w:sz w:val="18"/>
              </w:rPr>
              <w:t>对涉及环颈雉、蒙古兔、绿翅鸭、斑嘴鸭、赤麻鸭危害农作物严重的莲花寺镇、柳枝镇、赤水镇、下庙镇4个镇</w:t>
            </w:r>
            <w:r>
              <w:rPr>
                <w:rFonts w:ascii="仿宋_GB2312" w:hAnsi="仿宋_GB2312" w:cs="仿宋_GB2312" w:eastAsia="仿宋_GB2312"/>
                <w:sz w:val="18"/>
                <w:color w:val="000000"/>
              </w:rPr>
              <w:t>的时堡村、忠义村、南寨村、比新社区、新拾村、王里渡村、小涨社区、候坊村、新下社区、田村、甘村、康甘村等12个行政村（社区），开展</w:t>
            </w:r>
            <w:r>
              <w:rPr>
                <w:rFonts w:ascii="仿宋_GB2312" w:hAnsi="仿宋_GB2312" w:cs="仿宋_GB2312" w:eastAsia="仿宋_GB2312"/>
                <w:sz w:val="18"/>
              </w:rPr>
              <w:t>野生动物致害保险补助工作</w:t>
            </w:r>
            <w:r>
              <w:rPr>
                <w:rFonts w:ascii="仿宋_GB2312" w:hAnsi="仿宋_GB2312" w:cs="仿宋_GB2312" w:eastAsia="仿宋_GB2312"/>
                <w:sz w:val="18"/>
                <w:color w:val="000000"/>
              </w:rPr>
              <w:t>。以人口为基数，每人3.87元/人/年，</w:t>
            </w:r>
            <w:r>
              <w:rPr>
                <w:rFonts w:ascii="仿宋_GB2312" w:hAnsi="仿宋_GB2312" w:cs="仿宋_GB2312" w:eastAsia="仿宋_GB2312"/>
                <w:sz w:val="18"/>
              </w:rPr>
              <w:t>具体赔偿标准依据农作物不同生长期赔付比例进行赔付。</w:t>
            </w:r>
          </w:p>
          <w:p>
            <w:pPr>
              <w:pStyle w:val="null3"/>
              <w:ind w:firstLine="642"/>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标的名称：渭南市华州区2025年野生动物危害监测防控与补偿项目二标段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54"/>
              <w:jc w:val="both"/>
            </w:pPr>
            <w:r>
              <w:rPr>
                <w:rFonts w:ascii="仿宋_GB2312" w:hAnsi="仿宋_GB2312" w:cs="仿宋_GB2312" w:eastAsia="仿宋_GB2312"/>
                <w:sz w:val="18"/>
              </w:rPr>
              <w:t>一、基本原则</w:t>
            </w:r>
          </w:p>
          <w:p>
            <w:pPr>
              <w:pStyle w:val="null3"/>
              <w:ind w:firstLine="654"/>
              <w:jc w:val="both"/>
            </w:pPr>
            <w:r>
              <w:rPr>
                <w:rFonts w:ascii="仿宋_GB2312" w:hAnsi="仿宋_GB2312" w:cs="仿宋_GB2312" w:eastAsia="仿宋_GB2312"/>
                <w:sz w:val="18"/>
              </w:rPr>
              <w:t>坚持“政府主导、行业牵头、部门协同、保险补助、统筹兼顾”的原则，有序推进野生动物保护与人民群众切身利益维护工作，促进生态平衡。</w:t>
            </w:r>
          </w:p>
          <w:p>
            <w:pPr>
              <w:pStyle w:val="null3"/>
              <w:ind w:firstLine="654"/>
              <w:jc w:val="both"/>
            </w:pPr>
            <w:r>
              <w:rPr>
                <w:rFonts w:ascii="仿宋_GB2312" w:hAnsi="仿宋_GB2312" w:cs="仿宋_GB2312" w:eastAsia="仿宋_GB2312"/>
                <w:sz w:val="18"/>
              </w:rPr>
              <w:t>二、主要目标</w:t>
            </w:r>
          </w:p>
          <w:p>
            <w:pPr>
              <w:pStyle w:val="null3"/>
              <w:ind w:firstLine="654"/>
              <w:jc w:val="both"/>
            </w:pPr>
            <w:r>
              <w:rPr>
                <w:rFonts w:ascii="仿宋_GB2312" w:hAnsi="仿宋_GB2312" w:cs="仿宋_GB2312" w:eastAsia="仿宋_GB2312"/>
                <w:sz w:val="18"/>
              </w:rPr>
              <w:t>通过开展</w:t>
            </w:r>
            <w:r>
              <w:rPr>
                <w:rFonts w:ascii="仿宋_GB2312" w:hAnsi="仿宋_GB2312" w:cs="仿宋_GB2312" w:eastAsia="仿宋_GB2312"/>
                <w:sz w:val="18"/>
                <w:color w:val="000000"/>
              </w:rPr>
              <w:t>渭南市华州2025年野生动物危害防控与补偿项目</w:t>
            </w:r>
            <w:r>
              <w:rPr>
                <w:rFonts w:ascii="仿宋_GB2312" w:hAnsi="仿宋_GB2312" w:cs="仿宋_GB2312" w:eastAsia="仿宋_GB2312"/>
                <w:sz w:val="18"/>
              </w:rPr>
              <w:t>，科学处理保护野生动物与维护群众切身利益的关系，减少群众损失，增加群众的幸福感。</w:t>
            </w:r>
          </w:p>
          <w:p>
            <w:pPr>
              <w:pStyle w:val="null3"/>
              <w:ind w:firstLine="654"/>
              <w:jc w:val="both"/>
            </w:pPr>
            <w:r>
              <w:rPr>
                <w:rFonts w:ascii="仿宋_GB2312" w:hAnsi="仿宋_GB2312" w:cs="仿宋_GB2312" w:eastAsia="仿宋_GB2312"/>
                <w:sz w:val="18"/>
              </w:rPr>
              <w:t>三、补助范围</w:t>
            </w:r>
          </w:p>
          <w:p>
            <w:pPr>
              <w:pStyle w:val="null3"/>
              <w:ind w:firstLine="654"/>
              <w:jc w:val="both"/>
            </w:pPr>
            <w:r>
              <w:rPr>
                <w:rFonts w:ascii="仿宋_GB2312" w:hAnsi="仿宋_GB2312" w:cs="仿宋_GB2312" w:eastAsia="仿宋_GB2312"/>
                <w:sz w:val="18"/>
              </w:rPr>
              <w:t>对涉及野鸡、野兔、野鸭子危害农作物严重的莲花寺镇、柳枝镇、赤水镇、下庙镇4个镇</w:t>
            </w:r>
            <w:r>
              <w:rPr>
                <w:rFonts w:ascii="仿宋_GB2312" w:hAnsi="仿宋_GB2312" w:cs="仿宋_GB2312" w:eastAsia="仿宋_GB2312"/>
                <w:sz w:val="18"/>
                <w:color w:val="000000"/>
              </w:rPr>
              <w:t>的时堡村、忠义村、南寨村、毕新社区、新拾村、王里渡村、小涨社区、候坊村、新下社区、田村、甘村、康甘村等12个行政村（社区）</w:t>
            </w:r>
          </w:p>
          <w:p>
            <w:pPr>
              <w:pStyle w:val="null3"/>
              <w:ind w:firstLine="654"/>
              <w:jc w:val="both"/>
            </w:pPr>
            <w:r>
              <w:rPr>
                <w:rFonts w:ascii="仿宋_GB2312" w:hAnsi="仿宋_GB2312" w:cs="仿宋_GB2312" w:eastAsia="仿宋_GB2312"/>
                <w:sz w:val="18"/>
              </w:rPr>
              <w:t>四、承保机构</w:t>
            </w:r>
          </w:p>
          <w:p>
            <w:pPr>
              <w:pStyle w:val="null3"/>
              <w:ind w:firstLine="654"/>
              <w:jc w:val="both"/>
            </w:pPr>
            <w:r>
              <w:rPr>
                <w:rFonts w:ascii="仿宋_GB2312" w:hAnsi="仿宋_GB2312" w:cs="仿宋_GB2312" w:eastAsia="仿宋_GB2312"/>
                <w:sz w:val="18"/>
              </w:rPr>
              <w:t>选择信誉好、实力强、服务质量高、网络齐全的，经营范围包含野生动物致害保险的承保机构。</w:t>
            </w:r>
          </w:p>
          <w:p>
            <w:pPr>
              <w:pStyle w:val="null3"/>
              <w:ind w:left="675"/>
              <w:jc w:val="both"/>
            </w:pPr>
            <w:r>
              <w:rPr>
                <w:rFonts w:ascii="仿宋_GB2312" w:hAnsi="仿宋_GB2312" w:cs="仿宋_GB2312" w:eastAsia="仿宋_GB2312"/>
                <w:sz w:val="18"/>
                <w:color w:val="000000"/>
              </w:rPr>
              <w:t>五、保险内容和操作方式</w:t>
            </w:r>
          </w:p>
          <w:p>
            <w:pPr>
              <w:pStyle w:val="null3"/>
              <w:ind w:firstLine="654"/>
              <w:jc w:val="both"/>
            </w:pPr>
            <w:r>
              <w:rPr>
                <w:rFonts w:ascii="仿宋_GB2312" w:hAnsi="仿宋_GB2312" w:cs="仿宋_GB2312" w:eastAsia="仿宋_GB2312"/>
                <w:sz w:val="18"/>
              </w:rPr>
              <w:t>（一）保险内容</w:t>
            </w:r>
          </w:p>
          <w:p>
            <w:pPr>
              <w:pStyle w:val="null3"/>
              <w:ind w:firstLine="654"/>
              <w:jc w:val="both"/>
            </w:pPr>
            <w:r>
              <w:rPr>
                <w:rFonts w:ascii="仿宋_GB2312" w:hAnsi="仿宋_GB2312" w:cs="仿宋_GB2312" w:eastAsia="仿宋_GB2312"/>
                <w:sz w:val="18"/>
              </w:rPr>
              <w:t>1.保险保费：3.87元/人/年</w:t>
            </w:r>
          </w:p>
          <w:p>
            <w:pPr>
              <w:pStyle w:val="null3"/>
              <w:ind w:firstLine="654"/>
              <w:jc w:val="both"/>
            </w:pPr>
            <w:r>
              <w:rPr>
                <w:rFonts w:ascii="仿宋_GB2312" w:hAnsi="仿宋_GB2312" w:cs="仿宋_GB2312" w:eastAsia="仿宋_GB2312"/>
                <w:sz w:val="18"/>
              </w:rPr>
              <w:t>2.保险期限：一年</w:t>
            </w:r>
          </w:p>
          <w:p>
            <w:pPr>
              <w:pStyle w:val="null3"/>
              <w:ind w:firstLine="654"/>
              <w:jc w:val="both"/>
            </w:pPr>
            <w:r>
              <w:rPr>
                <w:rFonts w:ascii="仿宋_GB2312" w:hAnsi="仿宋_GB2312" w:cs="仿宋_GB2312" w:eastAsia="仿宋_GB2312"/>
                <w:sz w:val="18"/>
              </w:rPr>
              <w:t>3.农作物损失按具体损失品种核定，包含农户种植的小麦、玉米、红薯和马铃薯等，每地块每年只赔偿一次，面积以《农村土地承包经营权证》、承保合同等为依据，最高赔付0.5万元/户/年，如果没有上述农作物，参考类似农作物。具体赔偿标准依据农作物不同生长期比例进行赔付：</w:t>
            </w:r>
          </w:p>
          <w:p>
            <w:pPr>
              <w:pStyle w:val="null3"/>
              <w:ind w:firstLine="654"/>
              <w:jc w:val="both"/>
            </w:pPr>
            <w:r>
              <w:rPr>
                <w:rFonts w:ascii="仿宋_GB2312" w:hAnsi="仿宋_GB2312" w:cs="仿宋_GB2312" w:eastAsia="仿宋_GB2312"/>
                <w:sz w:val="18"/>
              </w:rPr>
              <w:t>（1）小麦每亩最高赔偿500元。其中：苗期—拔节期每亩最高赔付200元，孕穗期—抽穗期每亩最高赔付300元，开花期—灌浆期每亩最高赔付400元，成熟期每亩最高赔付500元。</w:t>
            </w:r>
          </w:p>
          <w:p>
            <w:pPr>
              <w:pStyle w:val="null3"/>
              <w:ind w:firstLine="654"/>
              <w:jc w:val="both"/>
            </w:pPr>
            <w:r>
              <w:rPr>
                <w:rFonts w:ascii="仿宋_GB2312" w:hAnsi="仿宋_GB2312" w:cs="仿宋_GB2312" w:eastAsia="仿宋_GB2312"/>
                <w:sz w:val="18"/>
              </w:rPr>
              <w:t>（2）玉米每亩最高赔偿500元。其中：苗期—拔节期每亩最高赔付200元，拔节期—开花期前每亩最高赔付300元，开花期—成熟期前每亩最高赔付400元，成熟期每亩最高赔付500元。</w:t>
            </w:r>
          </w:p>
          <w:p>
            <w:pPr>
              <w:pStyle w:val="null3"/>
              <w:ind w:firstLine="654"/>
              <w:jc w:val="both"/>
            </w:pPr>
            <w:r>
              <w:rPr>
                <w:rFonts w:ascii="仿宋_GB2312" w:hAnsi="仿宋_GB2312" w:cs="仿宋_GB2312" w:eastAsia="仿宋_GB2312"/>
                <w:sz w:val="18"/>
              </w:rPr>
              <w:t>（3）红薯、马铃薯每亩最高赔偿500元。其中：幼苗期每亩最高赔付200元，发棵期每亩最高赔付250元，结薯期每亩最高赔付350元，成熟期每亩最高赔付500元。</w:t>
            </w:r>
          </w:p>
          <w:p>
            <w:pPr>
              <w:pStyle w:val="null3"/>
              <w:ind w:firstLine="654"/>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花椒最高赔偿800元。其中：开花期每亩最高赔付320元，结果期每亩最高赔付480元，采收期每亩最高赔付800元。</w:t>
            </w:r>
          </w:p>
          <w:p>
            <w:pPr>
              <w:pStyle w:val="null3"/>
              <w:ind w:firstLine="654"/>
              <w:jc w:val="both"/>
            </w:pPr>
            <w:r>
              <w:rPr>
                <w:rFonts w:ascii="仿宋_GB2312" w:hAnsi="仿宋_GB2312" w:cs="仿宋_GB2312" w:eastAsia="仿宋_GB2312"/>
                <w:sz w:val="18"/>
              </w:rPr>
              <w:t>4.免赔</w:t>
            </w:r>
          </w:p>
          <w:p>
            <w:pPr>
              <w:pStyle w:val="null3"/>
              <w:ind w:firstLine="654"/>
              <w:jc w:val="both"/>
            </w:pPr>
            <w:r>
              <w:rPr>
                <w:rFonts w:ascii="仿宋_GB2312" w:hAnsi="仿宋_GB2312" w:cs="仿宋_GB2312" w:eastAsia="仿宋_GB2312"/>
                <w:sz w:val="18"/>
              </w:rPr>
              <w:t>农作物损失每次免赔200元或10%，以高者为准。</w:t>
            </w:r>
          </w:p>
          <w:p>
            <w:pPr>
              <w:pStyle w:val="null3"/>
              <w:ind w:firstLine="654"/>
              <w:jc w:val="both"/>
            </w:pPr>
            <w:r>
              <w:rPr>
                <w:rFonts w:ascii="仿宋_GB2312" w:hAnsi="仿宋_GB2312" w:cs="仿宋_GB2312" w:eastAsia="仿宋_GB2312"/>
                <w:sz w:val="18"/>
              </w:rPr>
              <w:t>5.赔偿范围之外</w:t>
            </w:r>
          </w:p>
          <w:p>
            <w:pPr>
              <w:pStyle w:val="null3"/>
              <w:ind w:firstLine="654"/>
              <w:jc w:val="both"/>
            </w:pPr>
            <w:r>
              <w:rPr>
                <w:rFonts w:ascii="仿宋_GB2312" w:hAnsi="仿宋_GB2312" w:cs="仿宋_GB2312" w:eastAsia="仿宋_GB2312"/>
                <w:sz w:val="18"/>
              </w:rPr>
              <w:t>未能提供如《农村土地承包经营权证》、承保合同等土地权属的证明的，造成损毁的不承担补偿责任。</w:t>
            </w:r>
          </w:p>
          <w:p>
            <w:pPr>
              <w:pStyle w:val="null3"/>
              <w:ind w:firstLine="654"/>
              <w:jc w:val="both"/>
            </w:pPr>
            <w:r>
              <w:rPr>
                <w:rFonts w:ascii="仿宋_GB2312" w:hAnsi="仿宋_GB2312" w:cs="仿宋_GB2312" w:eastAsia="仿宋_GB2312"/>
                <w:sz w:val="18"/>
              </w:rPr>
              <w:t>（二）赔付流程</w:t>
            </w:r>
          </w:p>
          <w:p>
            <w:pPr>
              <w:pStyle w:val="null3"/>
              <w:ind w:firstLine="654"/>
              <w:jc w:val="both"/>
            </w:pPr>
            <w:r>
              <w:rPr>
                <w:rFonts w:ascii="仿宋_GB2312" w:hAnsi="仿宋_GB2312" w:cs="仿宋_GB2312" w:eastAsia="仿宋_GB2312"/>
                <w:sz w:val="18"/>
              </w:rPr>
              <w:t>1.报案程序</w:t>
            </w:r>
          </w:p>
          <w:p>
            <w:pPr>
              <w:pStyle w:val="null3"/>
              <w:ind w:firstLine="654"/>
              <w:jc w:val="both"/>
            </w:pPr>
            <w:r>
              <w:rPr>
                <w:rFonts w:ascii="仿宋_GB2312" w:hAnsi="仿宋_GB2312" w:cs="仿宋_GB2312" w:eastAsia="仿宋_GB2312"/>
                <w:sz w:val="18"/>
              </w:rPr>
              <w:t>被保险人的农作物损毁在24小时向所在行政村报案，行政村经过汇总后向所在镇办报案，镇办在第一时间向承保机构报案，承保机构接到报案后，会同镇、村干部和受损群众现场查勘，根据查勘定损结果和提供的相关资料，按时限赔付到户。</w:t>
            </w:r>
          </w:p>
          <w:p>
            <w:pPr>
              <w:pStyle w:val="null3"/>
              <w:ind w:firstLine="654"/>
              <w:jc w:val="both"/>
            </w:pPr>
            <w:r>
              <w:rPr>
                <w:rFonts w:ascii="仿宋_GB2312" w:hAnsi="仿宋_GB2312" w:cs="仿宋_GB2312" w:eastAsia="仿宋_GB2312"/>
                <w:sz w:val="18"/>
              </w:rPr>
              <w:t>2.所需资料</w:t>
            </w:r>
          </w:p>
          <w:p>
            <w:pPr>
              <w:pStyle w:val="null3"/>
              <w:ind w:firstLine="654"/>
              <w:jc w:val="both"/>
            </w:pPr>
            <w:r>
              <w:rPr>
                <w:rFonts w:ascii="仿宋_GB2312" w:hAnsi="仿宋_GB2312" w:cs="仿宋_GB2312" w:eastAsia="仿宋_GB2312"/>
                <w:sz w:val="18"/>
              </w:rPr>
              <w:t>被保险人或其代理人填写的索赔申请书、《农村土地承包经营权证》或承保合同、户主身份证、户口本和惠农一卡通卡号。</w:t>
            </w:r>
          </w:p>
          <w:p>
            <w:pPr>
              <w:pStyle w:val="null3"/>
              <w:ind w:firstLine="654"/>
              <w:jc w:val="both"/>
            </w:pPr>
            <w:r>
              <w:rPr>
                <w:rFonts w:ascii="仿宋_GB2312" w:hAnsi="仿宋_GB2312" w:cs="仿宋_GB2312" w:eastAsia="仿宋_GB2312"/>
                <w:sz w:val="18"/>
              </w:rPr>
              <w:t>3.服务承诺</w:t>
            </w:r>
          </w:p>
          <w:p>
            <w:pPr>
              <w:pStyle w:val="null3"/>
              <w:ind w:firstLine="654"/>
              <w:jc w:val="both"/>
            </w:pPr>
            <w:r>
              <w:rPr>
                <w:rFonts w:ascii="仿宋_GB2312" w:hAnsi="仿宋_GB2312" w:cs="仿宋_GB2312" w:eastAsia="仿宋_GB2312"/>
                <w:sz w:val="18"/>
              </w:rPr>
              <w:t>（1）承保机构接到报案后2个工作日内进行现场查勘，自收到所有赔偿相关举证资料10个工作日内赔付到户。</w:t>
            </w:r>
          </w:p>
          <w:p>
            <w:pPr>
              <w:pStyle w:val="null3"/>
              <w:ind w:firstLine="654"/>
              <w:jc w:val="both"/>
            </w:pPr>
            <w:r>
              <w:rPr>
                <w:rFonts w:ascii="仿宋_GB2312" w:hAnsi="仿宋_GB2312" w:cs="仿宋_GB2312" w:eastAsia="仿宋_GB2312"/>
                <w:sz w:val="18"/>
              </w:rPr>
              <w:t>（2）承保机构的服务电话提供24小时热线服务，报案赔偿、处理查询等服务事项。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合同签订后5个工作日内出具保单 保险期限：一年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合同签订后，乙方每月月底须向甲方上报猎捕情况并提交相关资料，项目服务内容全部完成后，经甲方验收完毕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乙方按甲方要求对野生动物致害保险出具正式保单并开具发票后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2.提供具有履行本合同所必需的设备和专业技术能力的说明及承诺； 3.提供截止至开标时间前一年内任意一个月的纳税证明或完税证明（增值税、营业税、企业所得税至少提供一种），纳税证明或完税证明上应有代收机构或税务机关的公章或业务专用章，依法免税的供应商应提供相应证明文件； 4.提供截止至开标时间前一年内任意一个月的社保缴费凭据或社保机构开具的社会保险参保缴费情况证明；（依法不需要缴纳社会保障资金的供应商应提供相关证明）；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提供具有财务审计资质单位出具的2023年度或2024年度完整的财务报告（成立时间至开标时间不足一年的可提供成立后任意时段的资产负债表）或开标前六个月内其基本账户银行出具的资信证明。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2.提供具有履行本合同所必需的设备和专业技术能力的说明及承诺； 3.提供截止至开标时间前一年内任意一个月的纳税证明或完税证明（增值税、营业税、企业所得税至少提供一种），纳税证明或完税证明上应有代收机构或税务机关的公章或业务专用章，依法免税的供应商应提供相应证明文件； 4.提供截止至开标时间前一年内任意一个月的社保缴费凭据或社保机构开具的社会保险参保缴费情况证明；（依法不需要缴纳社会保障资金的供应商应提供相关证明）；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提供具有财务审计资质单位出具的2023年度或2024年度完整的财务报告（成立时间至开标时间不足一年的可提供成立后任意时段的资产负债表）或开标前六个月内其基本账户银行出具的资信证明。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严重失信主体、经营异常名录、重大税收违法失信主体、政府采购严重违法失信行为记录名单”的供应商；不得为中国政府采购网(http://www.ccgp.gov.cn)“政府采购严重违法失信行为记录名单”中的供应商；（提供网站截图，加盖供应商公章或电子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供应商须具有中国保险监管机构出具的《经营保险业务许可证》（总公司取得的相关资质和指标，分支机构经总公司有效授权视为拥有同等资质和指标，每家总公司仅能授权一个分支机构或分公司参加投标）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资格证明文件.docx 响应文件封面 分项报价表.docx 残疾人福利性单位声明函 技术和商务偏离表.docx 业绩证明材料.docx 标的清单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资格证明文件.docx 响应文件封面 分项报价表.docx 残疾人福利性单位声明函 技术和商务偏离表.docx 业绩证明材料.docx 标的清单 响应函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标的清单 报价表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中小企业声明函 报价表 资格证明文件.docx 响应文件封面 分项报价表.docx 残疾人福利性单位声明函 技术和商务偏离表.docx 业绩证明材料.docx 标的清单 响应函 服务方案.docx 陕西省政府采购供应商拒绝政府采购领域商业贿赂承诺书.docx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中小企业声明函 残疾人福利性单位声明函 技术和商务偏离表.docx 业绩证明材料.docx 标的清单 报价表 响应函 资格证明文件.docx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中小企业声明函 残疾人福利性单位声明函 技术和商务偏离表.docx 业绩证明材料.docx 标的清单 报价表 响应函 资格证明文件.docx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技术和商务偏离表.docx 标的清单 报价表 响应函 服务方案.docx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技术和商务偏离表.docx 标的清单 报价表 响应函 资格证明文件.docx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针对本项目提出适用于本项目的需求响应方案，包括：①项目理解②需求分析③项目重难点分析。 方案描述详细，针对项目情况有具体的分析阐述，工作程序明确、能全面高效地完成本项目，计（6.1-9）分；方案内容虽阐述但未贴合项目实际情况进行论述，工作程序不明确，未包括具体实施细节及措施，计（3.1-6）分；方案内容不完整，未提供具体的实施措施，计（1-3） 分；缺项则计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出适用于本项目的整体服务方案，包括：①项目整体服务方案②实施思路③现场调查方案④实施计划。方案描述详细，针对项目情况有具体的分析阐述，工作程序明确、能全面高效地完成本项目，计（12.1-18）分；方案内容虽阐述但未贴合项目实际情况进行论述，工作程序不明确，未包括具体实施细节及措施，计（6.1-12）分；方案内容不完整，未提供具体的实施措施，计（1-6）分；缺项则计 0 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进度安排方案</w:t>
            </w:r>
          </w:p>
        </w:tc>
        <w:tc>
          <w:tcPr>
            <w:tcW w:type="dxa" w:w="2492"/>
          </w:tcPr>
          <w:p>
            <w:pPr>
              <w:pStyle w:val="null3"/>
            </w:pPr>
            <w:r>
              <w:rPr>
                <w:rFonts w:ascii="仿宋_GB2312" w:hAnsi="仿宋_GB2312" w:cs="仿宋_GB2312" w:eastAsia="仿宋_GB2312"/>
              </w:rPr>
              <w:t>针对本项目提出适用于本项目的项目实施进度计划，包括：①项目总体进度计划②项目进度安排③项目进度保障。方案描述详细，针对项目情况有具体的分析阐述，工作程序明确、能全面高效地完成本项目，计（8.1-12）分；方案内容虽阐述但未贴合项目实际情况进行论述，工作程序不明确，未包括具体实施细节及措施，计（4.1-8）分；方案内容不完整，未提供具体的实施措施，计（1-4）分；缺项则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项目保证措施</w:t>
            </w:r>
          </w:p>
        </w:tc>
        <w:tc>
          <w:tcPr>
            <w:tcW w:type="dxa" w:w="2492"/>
          </w:tcPr>
          <w:p>
            <w:pPr>
              <w:pStyle w:val="null3"/>
            </w:pPr>
            <w:r>
              <w:rPr>
                <w:rFonts w:ascii="仿宋_GB2312" w:hAnsi="仿宋_GB2312" w:cs="仿宋_GB2312" w:eastAsia="仿宋_GB2312"/>
              </w:rPr>
              <w:t>针对本项目提出适用于本项目的服务质量保证措施，包括：①服务质量保障措施②安全保障措施③保密措施。方案描述详细，针对项目情况有具体的分析阐述，工作程序明确、能全面高效地完成本项目，计（8.1-12）分；方案内容虽阐述但未贴合项目实际情况进行论述，工作程序不明确，未包括具体实施细节及措施，计（4.1-8）分；方案内容不完整，未提供具体的实施措施，计（1-4）分；缺项则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针对本项目提出适用于本项目的服务承诺及应急管理方案，包括：①应急预案②应急保障措施③服务承诺。 方案描述详细，针对项目情况有具体的分析阐述，工作程序明确、能全面高效地完成本项目，计（8.1-12）分；方案内容虽阐述但未贴合项目实际情况进行论述，工作程序不明确，未包括具体实施细节及措施，计（4.1-8）分；方案内容不完整，未提供具体的实施措施，计（1-4）分；缺项则计 0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拟派服务团队</w:t>
            </w:r>
          </w:p>
        </w:tc>
        <w:tc>
          <w:tcPr>
            <w:tcW w:type="dxa" w:w="2492"/>
          </w:tcPr>
          <w:p>
            <w:pPr>
              <w:pStyle w:val="null3"/>
            </w:pPr>
            <w:r>
              <w:rPr>
                <w:rFonts w:ascii="仿宋_GB2312" w:hAnsi="仿宋_GB2312" w:cs="仿宋_GB2312" w:eastAsia="仿宋_GB2312"/>
              </w:rPr>
              <w:t>①针对本项目有专业的服务团队，团队组织结构合理，配备齐全。人员配备设置合理，管理及专业人员配备齐全、分工明确、职责清晰得7.1-10 分； ②人员配备设置较合理，管理及专业人员配备齐全、分工及岗位职责较清晰得 4.1-7分； ③人员配备设置基本合理，管理及专业人员分工及岗位职责不清晰得1-4分； 缺项则计 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拟投入的设备必须满足本项目实际需求，体现出拟投入设备的合理性和必要性。根据①设备性能②拟投入交通设备③数量及种类等进行综合评分，每提供一项得 1-3分；最高得 9分。缺项则计 0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2022 年 1 月 1 日至今类似本项目业绩，以供应商提供的合同或中标（成交）通知书复印件（或扫描件）为准（日期以合同签订时间或中标（成交）通知书时间为准），每提供一份得 1.5分，满分 3分；未提供的不得分。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磋商报价得分=（投标基准价/磋商报价）×价格权值（15%）×100，超出最高限价的报价为无效报价。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根据供应商制定的针对本项目保险特点的整体服务方案进行评分，方案应包括：①服务宗旨定位；②服务目标计划；③服务理念及特色；④服务保障措施；⑤服务管理模式及重难点分析。 （1）服务方案详细具体、实施思路清晰、内容全面响应采购项目需求，得8.1-12分； （2）有服务方案,内容较好响应采购项目需求，得4.1-8分； （3）服务方案有缺项漏项,内容不完整或不能全部响应采购项目需求，得1-4分；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承保服务方案</w:t>
            </w:r>
          </w:p>
        </w:tc>
        <w:tc>
          <w:tcPr>
            <w:tcW w:type="dxa" w:w="2492"/>
          </w:tcPr>
          <w:p>
            <w:pPr>
              <w:pStyle w:val="null3"/>
            </w:pPr>
            <w:r>
              <w:rPr>
                <w:rFonts w:ascii="仿宋_GB2312" w:hAnsi="仿宋_GB2312" w:cs="仿宋_GB2312" w:eastAsia="仿宋_GB2312"/>
              </w:rPr>
              <w:t>根据供应商制定的承保服务方案进行评分，方案应包括：①救助责任及范围；②保险限额标准；③投保时效。 （1）承保方案详细具体、保费标准清晰合理、投保时效符合实际，内容全面响应采购项目需求，得8.1-12分； （2）有承保方案，保费标准清晰合理、内容较好响应采购项目需求，得4.1-8分； （3）承保方案有缺项漏项,内容不完整或不能全部响应采购项目需求，得1-4分；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理赔服务方案</w:t>
            </w:r>
          </w:p>
        </w:tc>
        <w:tc>
          <w:tcPr>
            <w:tcW w:type="dxa" w:w="2492"/>
          </w:tcPr>
          <w:p>
            <w:pPr>
              <w:pStyle w:val="null3"/>
            </w:pPr>
            <w:r>
              <w:rPr>
                <w:rFonts w:ascii="仿宋_GB2312" w:hAnsi="仿宋_GB2312" w:cs="仿宋_GB2312" w:eastAsia="仿宋_GB2312"/>
              </w:rPr>
              <w:t>根据供应商制定的理赔方案进行评分，方案应包括：①理赔流程；②理赔质量标准；③理赔响应时效；④现场勘查时效；⑤档案及跟踪管理等保障措施。 （1）理赔方案详细具体、理赔程序清晰简便、理赔响应时效短、内容全面响应采购项目需求，得8.1-12分； （2）有理赔方案，理赔程序不够清晰简便、理赔响应时效短、内容较好响应采购项目需求，得4.1-8分； （3）理赔方案有缺项漏项,内容不完整或不能全部响应采购项目需求，得1-4分；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有规范、健全的业务承揽（反商业贿赂）、出单、保费收取、报案、查勘、收集资料、理赔、财务管理、业务操作流程等制度、措施。 评审依据评审依据： 1）方案全面、科学、合理得 7.1-10 分。 2)方案部分缺失或不合理得 4.1-7 分。 3)方案明显不合理或缺失关键部分得 1-4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风险管控</w:t>
            </w:r>
          </w:p>
        </w:tc>
        <w:tc>
          <w:tcPr>
            <w:tcW w:type="dxa" w:w="2492"/>
          </w:tcPr>
          <w:p>
            <w:pPr>
              <w:pStyle w:val="null3"/>
            </w:pPr>
            <w:r>
              <w:rPr>
                <w:rFonts w:ascii="仿宋_GB2312" w:hAnsi="仿宋_GB2312" w:cs="仿宋_GB2312" w:eastAsia="仿宋_GB2312"/>
              </w:rPr>
              <w:t>根据供应商提供的突发状况应急预案、风险管理、控制措施的完整性、可行性综合评比，内容完备齐全 、科学规范、合理得当，针对性较强，计7.1-10分，内容基本满足要求,计4.1-7分，内容简单略显瑕疵 ，计1-4分，未提供不计分。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总公司或集团公司2023年度或2024年度的偿付能力充足率考核报表，满分10分;(需提供相关证明材料)偿付能力充足率低于100%的，不得分;偿付能力充足率在100%到150%之间的，得5分;偿付能力充足率高于150%的，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根据供应商制定的针对采购人、投保人(被保险人）关于保险内容及理赔流程的培训计划（包括：培训次数、培训人数、培训时间、培训内容等）进行评分： （1）计划详细具体、覆盖面较广、针对性强，得7.1-10分； （2）计划较详细具体，覆盖面较广、针对性较强，得4.1-7分； （3）计划不详细具体，覆盖面不广、针对性不强，得1-4分；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供应商提供2022年以来同类项目的业绩（以合同签订时间为准），每提供一个得3分，最高得9分，未提供不得分。（应提供中标通知书、保险单或保险合同关键页扫描件）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磋商报价得分=（投标基准价/磋商报价）×价格权值（15%）×100，超出最高限价的报价为无效报价。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