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版本号：ZBYD-2025-ZC00620250912001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渭南市华州区2个涉铁项目设计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ZBYD-2025-ZC006</w:t>
      </w:r>
      <w:r>
        <w:br/>
      </w:r>
      <w:r>
        <w:br/>
      </w:r>
      <w:r>
        <w:br/>
      </w:r>
    </w:p>
    <w:p>
      <w:pPr>
        <w:pStyle w:val="null3"/>
        <w:jc w:val="center"/>
        <w:outlineLvl w:val="2"/>
      </w:pPr>
      <w:r>
        <w:rPr>
          <w:rFonts w:ascii="仿宋_GB2312" w:hAnsi="仿宋_GB2312" w:cs="仿宋_GB2312" w:eastAsia="仿宋_GB2312"/>
          <w:sz w:val="28"/>
          <w:b/>
        </w:rPr>
        <w:t>渭南市华州区住房和城乡建设局</w:t>
      </w:r>
    </w:p>
    <w:p>
      <w:pPr>
        <w:pStyle w:val="null3"/>
        <w:jc w:val="center"/>
        <w:outlineLvl w:val="2"/>
      </w:pPr>
      <w:r>
        <w:rPr>
          <w:rFonts w:ascii="仿宋_GB2312" w:hAnsi="仿宋_GB2312" w:cs="仿宋_GB2312" w:eastAsia="仿宋_GB2312"/>
          <w:sz w:val="28"/>
          <w:b/>
        </w:rPr>
        <w:t>陕西致博煜达项目管理有限公司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陕西致博煜达项目管理有限公司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渭南市华州区住房和城乡建设局</w:t>
      </w:r>
      <w:r>
        <w:rPr>
          <w:rFonts w:ascii="仿宋_GB2312" w:hAnsi="仿宋_GB2312" w:cs="仿宋_GB2312" w:eastAsia="仿宋_GB2312"/>
        </w:rPr>
        <w:t>委托，拟对</w:t>
      </w:r>
      <w:r>
        <w:rPr>
          <w:rFonts w:ascii="仿宋_GB2312" w:hAnsi="仿宋_GB2312" w:cs="仿宋_GB2312" w:eastAsia="仿宋_GB2312"/>
        </w:rPr>
        <w:t>渭南市华州区2个涉铁项目设计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ZBYD-2025-ZC006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渭南市华州区2个涉铁项目设计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渭南市华州区2个涉铁项目设计。 1、渭南市华州区二华干沟(城区段)水污染防治工程(一期)DN1500YS管道下穿陇海铁路立交涉铁专项设计： 本项目渭南市华州区二华干沟(城区段)水污染防治工程(一期)共包含桓公大街、新秦路、彤城街、华州大街、尚德路、古郑路、新华大街及龙山路共计八条道路排水管网建设。将现状合流管道利用作为污水管道;新建雨水管道。对现状雨水口进行封堵改造，现状检查井盖进行更换。 新秦路新建雨水管道起点位于新秦路与G310国道交叉口北侧，自南向北敷设,沿线收集本次设计道路路面以及道路两侧用户雨水，设计终点接入新秦路下游d2000mm现状雨水管道。其中Y19~Y20段d1500mm雨水管下穿陇海铁路新秦路立交，雨水管管底埋深约5.0m，与框架涵底板竖向净距约2.0m。 古郑路新建雨水管道起点位于古郑路与G310国道交叉口北侧，自南向北敷设,沿线收集本次设计道路路面以及道路两侧用户雨水，设计终点采用d800mm管道临时接入古郑路下游d800mm现状合流管道，待远期古郑路下游改造时，从Y38井进行分流。设计管径为d800- 1650mm，主管道长1620m。其中Y22~Y23段d1500mm雨水管下穿陇海铁路古郑路立交，雨水管管底埋深约4.5m，与框架涵底板竖向净距约1.55m。 2、渭南市华州区潘陈、东罗排污渠管径扩容项目（1-φ1000WS/1-φ1800YS）管道下穿徐兰高速线涉铁专项设计及防护工程： 本项目旨在通过对华州区潘陈、东罗排污渠管径扩容，进一步提升城市东片区内涝防御能力，加快构建高效完善的城市内涝防治体系，实现内涝防治水平明显提高，通过雨污分流制，减少环境污染，改善当地群众的生活环境。实施本项目，可完成消除项目区易涝积水点的目标，可建立较为完善的城市排水防涝工程体系，通过新建雨、污水管道，为现状管道“减负”，缓解或消除片区内涝；实施雨污分流制减少河流污染，保护水生态环境，污水水质净化再利用，确保经济社会持续健康协调发展。 新建雨水箱涵起点位于北赤路，与原东环路雨水管道相接（Y1，Y2），沿北赤路向西布设约180m，向北沿水泥路继续布设，于K0+348.5处下穿徐兰高铁后继续向北布设，最后汇入二华干沟，下穿徐兰高铁段新建雨水管道为d1800 mmⅢ级钢筋混凝土管。 新建污水管道起点位于北赤路，与原东环路污水管道相接（W1），与本次设计新建雨水箱涵并行沿北环路向西布设约147米后向北沿水泥路继续布设，于K0+352处下穿徐兰高铁后继续向北布设，于K1+785处与雨水箱涵分开继续向西下穿华少路，布设120m后向北布设，最后接入第二污水处理厂溢流管，下穿徐兰高铁段新建污水管道为d1000 mmⅢ级钢筋混凝土管。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1、营业执照：具有独立承担民事责任能力的法人、其他组织或自然人，并出具合法有效的营业执照或事业单位法人证书等国家规定的相关证明，自然人参与的提供其身份证明；（附2024年年度报告）</w:t>
      </w:r>
    </w:p>
    <w:p>
      <w:pPr>
        <w:pStyle w:val="null3"/>
      </w:pPr>
      <w:r>
        <w:rPr>
          <w:rFonts w:ascii="仿宋_GB2312" w:hAnsi="仿宋_GB2312" w:cs="仿宋_GB2312" w:eastAsia="仿宋_GB2312"/>
        </w:rPr>
        <w:t>2、社会保障资金缴纳证明：供应商提供2024年9月至今任意1个月已缴纳的社会保障资金缴存单据或社保机构开具的社会保险参保缴费情况证明；</w:t>
      </w:r>
    </w:p>
    <w:p>
      <w:pPr>
        <w:pStyle w:val="null3"/>
      </w:pPr>
      <w:r>
        <w:rPr>
          <w:rFonts w:ascii="仿宋_GB2312" w:hAnsi="仿宋_GB2312" w:cs="仿宋_GB2312" w:eastAsia="仿宋_GB2312"/>
        </w:rPr>
        <w:t>3、税收缴纳证明：供应商提供本单位2024年09月至今任意1个月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财务状况证明：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5、投标声明书：供应商应出具参加本次政府采购活动前3年内在经营活动中没有重大违法违纪书面声明；</w:t>
      </w:r>
    </w:p>
    <w:p>
      <w:pPr>
        <w:pStyle w:val="null3"/>
      </w:pPr>
      <w:r>
        <w:rPr>
          <w:rFonts w:ascii="仿宋_GB2312" w:hAnsi="仿宋_GB2312" w:cs="仿宋_GB2312" w:eastAsia="仿宋_GB2312"/>
        </w:rPr>
        <w:t>6、具备履行合同所必需的设备和专业技术能力的承诺：具备履行合同所必需的设备和专业技术能力的承诺；</w:t>
      </w:r>
    </w:p>
    <w:p>
      <w:pPr>
        <w:pStyle w:val="null3"/>
      </w:pPr>
      <w:r>
        <w:rPr>
          <w:rFonts w:ascii="仿宋_GB2312" w:hAnsi="仿宋_GB2312" w:cs="仿宋_GB2312" w:eastAsia="仿宋_GB2312"/>
        </w:rPr>
        <w:t>7、供应商授权合法的人员参加投标全过程：法定代表人授权委托书（附法定代表人身份证复印件）及被授权委托人身份证（法定代表人参加磋商只须提供法定代表人身份证）。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8、信用查询：供应商不得列入“中国执行信息公开网”网站被列为失信被执行人、“信用中国”网站重大税收违法失信主体及“中国政府采购网”（http://www.ccgp.gov.cn/）政府采购严重违法失信行为记录名单</w:t>
      </w:r>
    </w:p>
    <w:p>
      <w:pPr>
        <w:pStyle w:val="null3"/>
      </w:pPr>
      <w:r>
        <w:rPr>
          <w:rFonts w:ascii="仿宋_GB2312" w:hAnsi="仿宋_GB2312" w:cs="仿宋_GB2312" w:eastAsia="仿宋_GB2312"/>
        </w:rPr>
        <w:t>9、供应商资质：供应商须具有建设行政主管部门颁发的工程设计综合甲级资质或铁道行业设计甲（II）级 及以上资质。</w:t>
      </w:r>
    </w:p>
    <w:p>
      <w:pPr>
        <w:pStyle w:val="null3"/>
      </w:pPr>
      <w:r>
        <w:rPr>
          <w:rFonts w:ascii="仿宋_GB2312" w:hAnsi="仿宋_GB2312" w:cs="仿宋_GB2312" w:eastAsia="仿宋_GB2312"/>
        </w:rPr>
        <w:t>10、项目负责人：供应商拟派设计项目负责人须具备隧道专业高级或桥梁工程专业高级及以上职称且在本单位注册。</w:t>
      </w:r>
    </w:p>
    <w:p>
      <w:pPr>
        <w:pStyle w:val="null3"/>
      </w:pPr>
      <w:r>
        <w:rPr>
          <w:rFonts w:ascii="仿宋_GB2312" w:hAnsi="仿宋_GB2312" w:cs="仿宋_GB2312" w:eastAsia="仿宋_GB2312"/>
        </w:rPr>
        <w:t>11、声明函：本项目不接受联合体投标；单位负责人为同一人或者存在控股、管理关系的不同单位，不得参加同一项目的投标。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0913-4711722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陕西致博煜达项目管理有限公司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 陕西省西安市高新区唐延南路8号泰维智链中心一期B座2层206室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张咪、梁工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13759981399、18513691459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 采购代理服务费参照原《招标代理服务收费管理暂行办法》(计价格〔2002〕1980号)规定标准计算代理报酬。</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渭南市华州区住房和城乡建设局</w:t>
      </w:r>
      <w:r>
        <w:rPr>
          <w:rFonts w:ascii="仿宋_GB2312" w:hAnsi="仿宋_GB2312" w:cs="仿宋_GB2312" w:eastAsia="仿宋_GB2312"/>
        </w:rPr>
        <w:t>和</w:t>
      </w:r>
      <w:r>
        <w:rPr>
          <w:rFonts w:ascii="仿宋_GB2312" w:hAnsi="仿宋_GB2312" w:cs="仿宋_GB2312" w:eastAsia="仿宋_GB2312"/>
        </w:rPr>
        <w:t>陕西致博煜达项目管理有限公司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陕西致博煜达项目管理有限公司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陕西致博煜达项目管理有限公司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按照国家、省、市、行业标准及采购人要求进行验收。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陕西致博煜达项目管理有限公司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陕西致博煜达项目管理有限公司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陕西致博煜达项目管理有限公司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联系人：张咪</w:t>
      </w:r>
    </w:p>
    <w:p>
      <w:pPr>
        <w:pStyle w:val="null3"/>
      </w:pPr>
      <w:r>
        <w:rPr>
          <w:rFonts w:ascii="仿宋_GB2312" w:hAnsi="仿宋_GB2312" w:cs="仿宋_GB2312" w:eastAsia="仿宋_GB2312"/>
        </w:rPr>
        <w:t>联系电话：13759981399</w:t>
      </w:r>
    </w:p>
    <w:p>
      <w:pPr>
        <w:pStyle w:val="null3"/>
      </w:pPr>
      <w:r>
        <w:rPr>
          <w:rFonts w:ascii="仿宋_GB2312" w:hAnsi="仿宋_GB2312" w:cs="仿宋_GB2312" w:eastAsia="仿宋_GB2312"/>
        </w:rPr>
        <w:t>地址：陕西省西安市高新区唐延南路8号泰维智链中心一期B座2层206室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color w:val="993300"/>
        </w:rPr>
        <w:t>（</w:t>
      </w:r>
      <w:r>
        <w:rPr>
          <w:rFonts w:ascii="仿宋_GB2312" w:hAnsi="仿宋_GB2312" w:cs="仿宋_GB2312" w:eastAsia="仿宋_GB2312"/>
          <w:sz w:val="20"/>
          <w:color w:val="993300"/>
        </w:rPr>
        <w:t>1）渭南市华州区二华干沟(城区段)水污染防治工程(一期)DN1500YS管道下穿陇海铁路立交涉铁专项设计主要包括：</w:t>
      </w:r>
    </w:p>
    <w:p>
      <w:pPr>
        <w:pStyle w:val="null3"/>
        <w:ind w:firstLine="400"/>
        <w:jc w:val="both"/>
      </w:pPr>
      <w:r>
        <w:rPr>
          <w:rFonts w:ascii="仿宋_GB2312" w:hAnsi="仿宋_GB2312" w:cs="仿宋_GB2312" w:eastAsia="仿宋_GB2312"/>
          <w:sz w:val="20"/>
          <w:color w:val="993300"/>
        </w:rPr>
        <w:t>1）新秦路新建雨水管道下穿陇海铁路立交（铁路交叉里程K988+753.5）位置的Y19~Y20段DN1500mm雨水管和工作井结构主体及涉及的铁路设备（电力、通信、信号、接触网等）的迁改及防护工程。</w:t>
      </w:r>
    </w:p>
    <w:p>
      <w:pPr>
        <w:pStyle w:val="null3"/>
        <w:ind w:firstLine="400"/>
        <w:jc w:val="both"/>
      </w:pPr>
      <w:r>
        <w:rPr>
          <w:rFonts w:ascii="仿宋_GB2312" w:hAnsi="仿宋_GB2312" w:cs="仿宋_GB2312" w:eastAsia="仿宋_GB2312"/>
          <w:sz w:val="20"/>
          <w:color w:val="993300"/>
        </w:rPr>
        <w:t>2）古郑路新建雨水管道下穿陇海铁路立交（铁路交叉里程K988+303）位置的Y22~Y23段DN1500mm雨水管和工作井结构主体及涉及的铁路设备（电力、通信、信号、接触网等）的迁改及防护工程。</w:t>
      </w:r>
    </w:p>
    <w:p>
      <w:pPr>
        <w:pStyle w:val="null3"/>
        <w:ind w:firstLine="400"/>
        <w:jc w:val="both"/>
      </w:pPr>
      <w:r>
        <w:rPr>
          <w:rFonts w:ascii="仿宋_GB2312" w:hAnsi="仿宋_GB2312" w:cs="仿宋_GB2312" w:eastAsia="仿宋_GB2312"/>
          <w:sz w:val="20"/>
          <w:color w:val="993300"/>
        </w:rPr>
        <w:t>（</w:t>
      </w:r>
      <w:r>
        <w:rPr>
          <w:rFonts w:ascii="仿宋_GB2312" w:hAnsi="仿宋_GB2312" w:cs="仿宋_GB2312" w:eastAsia="仿宋_GB2312"/>
          <w:sz w:val="20"/>
          <w:color w:val="993300"/>
        </w:rPr>
        <w:t>2）渭南市华州区潘陈、东罗排污渠管径扩容项目（1-φ1000WS/1-φ1800YS）管道下穿徐兰高速线涉铁专项设计及防护工程主要包括：</w:t>
      </w:r>
    </w:p>
    <w:p>
      <w:pPr>
        <w:pStyle w:val="null3"/>
        <w:ind w:firstLine="400"/>
        <w:jc w:val="both"/>
      </w:pPr>
      <w:r>
        <w:rPr>
          <w:rFonts w:ascii="仿宋_GB2312" w:hAnsi="仿宋_GB2312" w:cs="仿宋_GB2312" w:eastAsia="仿宋_GB2312"/>
          <w:sz w:val="20"/>
          <w:color w:val="993300"/>
        </w:rPr>
        <w:t>渭南市华州区潘陈、东罗排污渠管径扩容项目</w:t>
      </w:r>
      <w:r>
        <w:rPr>
          <w:rFonts w:ascii="仿宋_GB2312" w:hAnsi="仿宋_GB2312" w:cs="仿宋_GB2312" w:eastAsia="仿宋_GB2312"/>
          <w:sz w:val="20"/>
          <w:color w:val="993300"/>
        </w:rPr>
        <w:t>1-DN1800雨水/1-DN1000污水管道下穿铁路段防护套管及相应管道的结构工程，以及涉及的铁路设备（电力、通信、信号、接触网等）的迁改及防护工程。</w:t>
      </w:r>
    </w:p>
    <w:p>
      <w:pPr>
        <w:pStyle w:val="null3"/>
        <w:ind w:firstLine="402"/>
        <w:jc w:val="left"/>
      </w:pPr>
      <w:r>
        <w:rPr>
          <w:rFonts w:ascii="仿宋_GB2312" w:hAnsi="仿宋_GB2312" w:cs="仿宋_GB2312" w:eastAsia="仿宋_GB2312"/>
          <w:sz w:val="20"/>
          <w:b/>
        </w:rPr>
        <w:t>本次设计服务内容包含方案设计、施工图设计、施工图预算编制及施工全过程设计服务等工作；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渭南市华州区2个涉铁项目设计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标的名称：渭南市华州区2个涉铁项目设计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服务质量要求</w:t>
            </w:r>
          </w:p>
          <w:p>
            <w:pPr>
              <w:pStyle w:val="null3"/>
              <w:ind w:firstLine="400"/>
              <w:jc w:val="left"/>
            </w:pPr>
            <w:r>
              <w:rPr>
                <w:rFonts w:ascii="仿宋_GB2312" w:hAnsi="仿宋_GB2312" w:cs="仿宋_GB2312" w:eastAsia="仿宋_GB2312"/>
                <w:sz w:val="20"/>
              </w:rPr>
              <w:t>设计成果文件必须符合国家、陕西省及行业相关标准、规范的规定，还需满足行业主管部门项目审批要求及采购人需求，还应同时满足以下要求：</w:t>
            </w:r>
          </w:p>
          <w:p>
            <w:pPr>
              <w:pStyle w:val="null3"/>
              <w:jc w:val="left"/>
            </w:pPr>
            <w:r>
              <w:rPr>
                <w:rFonts w:ascii="仿宋_GB2312" w:hAnsi="仿宋_GB2312" w:cs="仿宋_GB2312" w:eastAsia="仿宋_GB2312"/>
                <w:sz w:val="20"/>
              </w:rPr>
              <w:t>01. 施工图设计应达到指导施工的要求;</w:t>
            </w:r>
          </w:p>
          <w:p>
            <w:pPr>
              <w:pStyle w:val="null3"/>
              <w:jc w:val="left"/>
            </w:pPr>
            <w:r>
              <w:rPr>
                <w:rFonts w:ascii="仿宋_GB2312" w:hAnsi="仿宋_GB2312" w:cs="仿宋_GB2312" w:eastAsia="仿宋_GB2312"/>
                <w:sz w:val="20"/>
              </w:rPr>
              <w:t>02. 施工图设计应通过施工图图纸审查合格的要求;</w:t>
            </w:r>
          </w:p>
          <w:p>
            <w:pPr>
              <w:pStyle w:val="null3"/>
              <w:jc w:val="left"/>
            </w:pPr>
            <w:r>
              <w:rPr>
                <w:rFonts w:ascii="仿宋_GB2312" w:hAnsi="仿宋_GB2312" w:cs="仿宋_GB2312" w:eastAsia="仿宋_GB2312"/>
                <w:sz w:val="20"/>
              </w:rPr>
              <w:t>03. 所有成果文件必须通过相关部门审批及评审；</w:t>
            </w:r>
          </w:p>
          <w:p>
            <w:pPr>
              <w:pStyle w:val="null3"/>
              <w:jc w:val="both"/>
            </w:pPr>
            <w:r>
              <w:rPr>
                <w:rFonts w:ascii="仿宋_GB2312" w:hAnsi="仿宋_GB2312" w:cs="仿宋_GB2312" w:eastAsia="仿宋_GB2312"/>
                <w:sz w:val="20"/>
              </w:rPr>
              <w:t>04  后续服务：全过程，从施工进场至交工验收。</w:t>
            </w:r>
          </w:p>
          <w:p>
            <w:pPr>
              <w:pStyle w:val="null3"/>
              <w:jc w:val="both"/>
            </w:pPr>
            <w:r>
              <w:rPr>
                <w:rFonts w:ascii="仿宋_GB2312" w:hAnsi="仿宋_GB2312" w:cs="仿宋_GB2312" w:eastAsia="仿宋_GB2312"/>
                <w:sz w:val="20"/>
                <w:b/>
                <w:color w:val="993300"/>
              </w:rPr>
              <w:t>2</w:t>
            </w:r>
            <w:r>
              <w:rPr>
                <w:rFonts w:ascii="仿宋_GB2312" w:hAnsi="仿宋_GB2312" w:cs="仿宋_GB2312" w:eastAsia="仿宋_GB2312"/>
                <w:sz w:val="20"/>
                <w:b/>
                <w:color w:val="993300"/>
              </w:rPr>
              <w:t>、设计依据</w:t>
            </w:r>
          </w:p>
          <w:p>
            <w:pPr>
              <w:pStyle w:val="null3"/>
              <w:ind w:firstLine="400"/>
              <w:jc w:val="left"/>
            </w:pPr>
            <w:r>
              <w:rPr>
                <w:rFonts w:ascii="仿宋_GB2312" w:hAnsi="仿宋_GB2312" w:cs="仿宋_GB2312" w:eastAsia="仿宋_GB2312"/>
                <w:sz w:val="20"/>
              </w:rPr>
              <w:t>供应商</w:t>
            </w:r>
            <w:r>
              <w:rPr>
                <w:rFonts w:ascii="仿宋_GB2312" w:hAnsi="仿宋_GB2312" w:cs="仿宋_GB2312" w:eastAsia="仿宋_GB2312"/>
                <w:sz w:val="20"/>
              </w:rPr>
              <w:t>在设计工作中必须使用中华人民共和国《工程建设标准强制性条文》和下述标准、规范（不限于）：</w:t>
            </w:r>
          </w:p>
          <w:p>
            <w:pPr>
              <w:pStyle w:val="null3"/>
              <w:jc w:val="left"/>
            </w:pPr>
            <w:r>
              <w:rPr>
                <w:rFonts w:ascii="仿宋_GB2312" w:hAnsi="仿宋_GB2312" w:cs="仿宋_GB2312" w:eastAsia="仿宋_GB2312"/>
                <w:sz w:val="20"/>
              </w:rPr>
              <w:t>《铁路技术管理规程》</w:t>
            </w:r>
            <w:r>
              <w:rPr>
                <w:rFonts w:ascii="仿宋_GB2312" w:hAnsi="仿宋_GB2312" w:cs="仿宋_GB2312" w:eastAsia="仿宋_GB2312"/>
                <w:sz w:val="21"/>
              </w:rPr>
              <w:t xml:space="preserve">  </w:t>
            </w:r>
            <w:r>
              <w:rPr>
                <w:rFonts w:ascii="仿宋_GB2312" w:hAnsi="仿宋_GB2312" w:cs="仿宋_GB2312" w:eastAsia="仿宋_GB2312"/>
                <w:sz w:val="20"/>
              </w:rPr>
              <w:t>(2014年11月1日施行)</w:t>
            </w:r>
          </w:p>
          <w:p>
            <w:pPr>
              <w:pStyle w:val="null3"/>
              <w:jc w:val="left"/>
            </w:pPr>
            <w:r>
              <w:rPr>
                <w:rFonts w:ascii="仿宋_GB2312" w:hAnsi="仿宋_GB2312" w:cs="仿宋_GB2312" w:eastAsia="仿宋_GB2312"/>
                <w:sz w:val="20"/>
              </w:rPr>
              <w:t>《铁路安全管理条例》</w:t>
            </w:r>
            <w:r>
              <w:rPr>
                <w:rFonts w:ascii="仿宋_GB2312" w:hAnsi="仿宋_GB2312" w:cs="仿宋_GB2312" w:eastAsia="仿宋_GB2312"/>
                <w:sz w:val="21"/>
              </w:rPr>
              <w:t xml:space="preserve">  </w:t>
            </w:r>
            <w:r>
              <w:rPr>
                <w:rFonts w:ascii="仿宋_GB2312" w:hAnsi="仿宋_GB2312" w:cs="仿宋_GB2312" w:eastAsia="仿宋_GB2312"/>
                <w:sz w:val="20"/>
              </w:rPr>
              <w:t>(2014年1月1日起施行)</w:t>
            </w:r>
          </w:p>
          <w:p>
            <w:pPr>
              <w:pStyle w:val="null3"/>
              <w:ind w:firstLine="400"/>
              <w:jc w:val="left"/>
            </w:pPr>
            <w:r>
              <w:rPr>
                <w:rFonts w:ascii="仿宋_GB2312" w:hAnsi="仿宋_GB2312" w:cs="仿宋_GB2312" w:eastAsia="仿宋_GB2312"/>
                <w:sz w:val="20"/>
              </w:rPr>
              <w:t>《铁路营业线施工安全管理办法》（国铁运输监〔</w:t>
            </w:r>
            <w:r>
              <w:rPr>
                <w:rFonts w:ascii="仿宋_GB2312" w:hAnsi="仿宋_GB2312" w:cs="仿宋_GB2312" w:eastAsia="仿宋_GB2312"/>
                <w:sz w:val="20"/>
              </w:rPr>
              <w:t>2021〕31号）</w:t>
            </w:r>
          </w:p>
          <w:p>
            <w:pPr>
              <w:pStyle w:val="null3"/>
              <w:ind w:firstLine="400"/>
              <w:jc w:val="left"/>
            </w:pPr>
            <w:r>
              <w:rPr>
                <w:rFonts w:ascii="仿宋_GB2312" w:hAnsi="仿宋_GB2312" w:cs="仿宋_GB2312" w:eastAsia="仿宋_GB2312"/>
                <w:sz w:val="20"/>
              </w:rPr>
              <w:t>《客货共线铁路桥涵工程施工技术规程》（</w:t>
            </w:r>
            <w:r>
              <w:rPr>
                <w:rFonts w:ascii="仿宋_GB2312" w:hAnsi="仿宋_GB2312" w:cs="仿宋_GB2312" w:eastAsia="仿宋_GB2312"/>
                <w:sz w:val="20"/>
              </w:rPr>
              <w:t>Q/CR 9652-2017）</w:t>
            </w:r>
          </w:p>
          <w:p>
            <w:pPr>
              <w:pStyle w:val="null3"/>
              <w:ind w:firstLine="400"/>
              <w:jc w:val="left"/>
            </w:pPr>
            <w:r>
              <w:rPr>
                <w:rFonts w:ascii="仿宋_GB2312" w:hAnsi="仿宋_GB2312" w:cs="仿宋_GB2312" w:eastAsia="仿宋_GB2312"/>
                <w:sz w:val="20"/>
              </w:rPr>
              <w:t>《铁路桥涵设计规范》</w:t>
            </w:r>
            <w:r>
              <w:rPr>
                <w:rFonts w:ascii="仿宋_GB2312" w:hAnsi="仿宋_GB2312" w:cs="仿宋_GB2312" w:eastAsia="仿宋_GB2312"/>
                <w:sz w:val="20"/>
              </w:rPr>
              <w:t>(TB10002-2017)</w:t>
            </w:r>
          </w:p>
          <w:p>
            <w:pPr>
              <w:pStyle w:val="null3"/>
              <w:ind w:firstLine="400"/>
              <w:jc w:val="left"/>
            </w:pPr>
            <w:r>
              <w:rPr>
                <w:rFonts w:ascii="仿宋_GB2312" w:hAnsi="仿宋_GB2312" w:cs="仿宋_GB2312" w:eastAsia="仿宋_GB2312"/>
                <w:sz w:val="20"/>
              </w:rPr>
              <w:t>《铁路桥涵混凝土结构设计规范》</w:t>
            </w:r>
            <w:r>
              <w:rPr>
                <w:rFonts w:ascii="仿宋_GB2312" w:hAnsi="仿宋_GB2312" w:cs="仿宋_GB2312" w:eastAsia="仿宋_GB2312"/>
                <w:sz w:val="20"/>
              </w:rPr>
              <w:t>(TB10092-2017)</w:t>
            </w:r>
          </w:p>
          <w:p>
            <w:pPr>
              <w:pStyle w:val="null3"/>
              <w:ind w:firstLine="400"/>
              <w:jc w:val="left"/>
            </w:pPr>
            <w:r>
              <w:rPr>
                <w:rFonts w:ascii="仿宋_GB2312" w:hAnsi="仿宋_GB2312" w:cs="仿宋_GB2312" w:eastAsia="仿宋_GB2312"/>
                <w:sz w:val="20"/>
              </w:rPr>
              <w:t>《铁路桥涵地基和基础设计规范》</w:t>
            </w:r>
            <w:r>
              <w:rPr>
                <w:rFonts w:ascii="仿宋_GB2312" w:hAnsi="仿宋_GB2312" w:cs="仿宋_GB2312" w:eastAsia="仿宋_GB2312"/>
                <w:sz w:val="20"/>
              </w:rPr>
              <w:t>(TB10093-2017)</w:t>
            </w:r>
          </w:p>
          <w:p>
            <w:pPr>
              <w:pStyle w:val="null3"/>
              <w:ind w:firstLine="400"/>
              <w:jc w:val="left"/>
            </w:pPr>
            <w:r>
              <w:rPr>
                <w:rFonts w:ascii="仿宋_GB2312" w:hAnsi="仿宋_GB2312" w:cs="仿宋_GB2312" w:eastAsia="仿宋_GB2312"/>
                <w:sz w:val="20"/>
              </w:rPr>
              <w:t>《铁路混凝土结构耐久性设计规范》（</w:t>
            </w:r>
            <w:r>
              <w:rPr>
                <w:rFonts w:ascii="仿宋_GB2312" w:hAnsi="仿宋_GB2312" w:cs="仿宋_GB2312" w:eastAsia="仿宋_GB2312"/>
                <w:sz w:val="20"/>
              </w:rPr>
              <w:t>TB10005-2010）</w:t>
            </w:r>
          </w:p>
          <w:p>
            <w:pPr>
              <w:pStyle w:val="null3"/>
              <w:ind w:firstLine="400"/>
              <w:jc w:val="left"/>
            </w:pPr>
            <w:r>
              <w:rPr>
                <w:rFonts w:ascii="仿宋_GB2312" w:hAnsi="仿宋_GB2312" w:cs="仿宋_GB2312" w:eastAsia="仿宋_GB2312"/>
                <w:sz w:val="20"/>
              </w:rPr>
              <w:t>《建筑基坑支护技术规程》（</w:t>
            </w:r>
            <w:r>
              <w:rPr>
                <w:rFonts w:ascii="仿宋_GB2312" w:hAnsi="仿宋_GB2312" w:cs="仿宋_GB2312" w:eastAsia="仿宋_GB2312"/>
                <w:sz w:val="20"/>
              </w:rPr>
              <w:t>JGJ120-2012）</w:t>
            </w:r>
          </w:p>
          <w:p>
            <w:pPr>
              <w:pStyle w:val="null3"/>
              <w:ind w:firstLine="400"/>
              <w:jc w:val="left"/>
            </w:pPr>
            <w:r>
              <w:rPr>
                <w:rFonts w:ascii="仿宋_GB2312" w:hAnsi="仿宋_GB2312" w:cs="仿宋_GB2312" w:eastAsia="仿宋_GB2312"/>
                <w:sz w:val="20"/>
              </w:rPr>
              <w:t>《混凝土结构设计标准》（</w:t>
            </w:r>
            <w:r>
              <w:rPr>
                <w:rFonts w:ascii="仿宋_GB2312" w:hAnsi="仿宋_GB2312" w:cs="仿宋_GB2312" w:eastAsia="仿宋_GB2312"/>
                <w:sz w:val="20"/>
              </w:rPr>
              <w:t>GB/T50010-2010）2024版</w:t>
            </w:r>
          </w:p>
          <w:p>
            <w:pPr>
              <w:pStyle w:val="null3"/>
              <w:ind w:firstLine="400"/>
              <w:jc w:val="left"/>
            </w:pPr>
            <w:r>
              <w:rPr>
                <w:rFonts w:ascii="仿宋_GB2312" w:hAnsi="仿宋_GB2312" w:cs="仿宋_GB2312" w:eastAsia="仿宋_GB2312"/>
                <w:sz w:val="20"/>
              </w:rPr>
              <w:t>《铁路工程设计防火规范》（</w:t>
            </w:r>
            <w:r>
              <w:rPr>
                <w:rFonts w:ascii="仿宋_GB2312" w:hAnsi="仿宋_GB2312" w:cs="仿宋_GB2312" w:eastAsia="仿宋_GB2312"/>
                <w:sz w:val="20"/>
              </w:rPr>
              <w:t>TB 10063-2016）</w:t>
            </w:r>
          </w:p>
          <w:p>
            <w:pPr>
              <w:pStyle w:val="null3"/>
              <w:ind w:firstLine="400"/>
              <w:jc w:val="left"/>
            </w:pPr>
            <w:r>
              <w:rPr>
                <w:rFonts w:ascii="仿宋_GB2312" w:hAnsi="仿宋_GB2312" w:cs="仿宋_GB2312" w:eastAsia="仿宋_GB2312"/>
                <w:sz w:val="20"/>
              </w:rPr>
              <w:t>《公路与市政工程下穿高速铁路技术规程》（</w:t>
            </w:r>
            <w:r>
              <w:rPr>
                <w:rFonts w:ascii="仿宋_GB2312" w:hAnsi="仿宋_GB2312" w:cs="仿宋_GB2312" w:eastAsia="仿宋_GB2312"/>
                <w:sz w:val="20"/>
              </w:rPr>
              <w:t>TB 10182-2017）</w:t>
            </w:r>
          </w:p>
          <w:p>
            <w:pPr>
              <w:pStyle w:val="null3"/>
              <w:ind w:firstLine="400"/>
              <w:jc w:val="left"/>
            </w:pPr>
            <w:r>
              <w:rPr>
                <w:rFonts w:ascii="仿宋_GB2312" w:hAnsi="仿宋_GB2312" w:cs="仿宋_GB2312" w:eastAsia="仿宋_GB2312"/>
                <w:sz w:val="20"/>
              </w:rPr>
              <w:t>《铁路给水排水设计规范》</w:t>
            </w:r>
            <w:r>
              <w:rPr>
                <w:rFonts w:ascii="仿宋_GB2312" w:hAnsi="仿宋_GB2312" w:cs="仿宋_GB2312" w:eastAsia="仿宋_GB2312"/>
                <w:sz w:val="20"/>
              </w:rPr>
              <w:t>TB 10010-2016</w:t>
            </w:r>
          </w:p>
          <w:p>
            <w:pPr>
              <w:pStyle w:val="null3"/>
              <w:ind w:firstLine="400"/>
              <w:jc w:val="left"/>
            </w:pPr>
            <w:r>
              <w:rPr>
                <w:rFonts w:ascii="仿宋_GB2312" w:hAnsi="仿宋_GB2312" w:cs="仿宋_GB2312" w:eastAsia="仿宋_GB2312"/>
                <w:sz w:val="20"/>
              </w:rPr>
              <w:t>《邻近铁路营业线施工安全监测技术规程》</w:t>
            </w:r>
            <w:r>
              <w:rPr>
                <w:rFonts w:ascii="仿宋_GB2312" w:hAnsi="仿宋_GB2312" w:cs="仿宋_GB2312" w:eastAsia="仿宋_GB2312"/>
                <w:sz w:val="20"/>
              </w:rPr>
              <w:t>TB10314-2021</w:t>
            </w:r>
          </w:p>
          <w:p>
            <w:pPr>
              <w:pStyle w:val="null3"/>
              <w:ind w:firstLine="400"/>
              <w:jc w:val="left"/>
            </w:pPr>
            <w:r>
              <w:rPr>
                <w:rFonts w:ascii="仿宋_GB2312" w:hAnsi="仿宋_GB2312" w:cs="仿宋_GB2312" w:eastAsia="仿宋_GB2312"/>
                <w:sz w:val="20"/>
              </w:rPr>
              <w:t>《给排水管道工程施工及验收规范》（</w:t>
            </w:r>
            <w:r>
              <w:rPr>
                <w:rFonts w:ascii="仿宋_GB2312" w:hAnsi="仿宋_GB2312" w:cs="仿宋_GB2312" w:eastAsia="仿宋_GB2312"/>
                <w:sz w:val="20"/>
              </w:rPr>
              <w:t>GB 50268—2008）</w:t>
            </w:r>
          </w:p>
          <w:p>
            <w:pPr>
              <w:pStyle w:val="null3"/>
              <w:ind w:firstLine="400"/>
              <w:jc w:val="left"/>
            </w:pPr>
            <w:r>
              <w:rPr>
                <w:rFonts w:ascii="仿宋_GB2312" w:hAnsi="仿宋_GB2312" w:cs="仿宋_GB2312" w:eastAsia="仿宋_GB2312"/>
                <w:sz w:val="20"/>
              </w:rPr>
              <w:t>《给水排水工程构筑物结构设计规范》（</w:t>
            </w:r>
            <w:r>
              <w:rPr>
                <w:rFonts w:ascii="仿宋_GB2312" w:hAnsi="仿宋_GB2312" w:cs="仿宋_GB2312" w:eastAsia="仿宋_GB2312"/>
                <w:sz w:val="20"/>
              </w:rPr>
              <w:t>GB50069-2002）</w:t>
            </w:r>
          </w:p>
          <w:p>
            <w:pPr>
              <w:pStyle w:val="null3"/>
              <w:ind w:firstLine="400"/>
              <w:jc w:val="left"/>
            </w:pPr>
            <w:r>
              <w:rPr>
                <w:rFonts w:ascii="仿宋_GB2312" w:hAnsi="仿宋_GB2312" w:cs="仿宋_GB2312" w:eastAsia="仿宋_GB2312"/>
                <w:sz w:val="20"/>
              </w:rPr>
              <w:t>《给水排水工程管道结构设计规范》（</w:t>
            </w:r>
            <w:r>
              <w:rPr>
                <w:rFonts w:ascii="仿宋_GB2312" w:hAnsi="仿宋_GB2312" w:cs="仿宋_GB2312" w:eastAsia="仿宋_GB2312"/>
                <w:sz w:val="20"/>
              </w:rPr>
              <w:t>GB50332-2002）</w:t>
            </w:r>
          </w:p>
          <w:p>
            <w:pPr>
              <w:pStyle w:val="null3"/>
              <w:ind w:firstLine="400"/>
              <w:jc w:val="left"/>
            </w:pPr>
            <w:r>
              <w:rPr>
                <w:rFonts w:ascii="仿宋_GB2312" w:hAnsi="仿宋_GB2312" w:cs="仿宋_GB2312" w:eastAsia="仿宋_GB2312"/>
                <w:sz w:val="20"/>
              </w:rPr>
              <w:t>《城镇给水排水技术规范》（</w:t>
            </w:r>
            <w:r>
              <w:rPr>
                <w:rFonts w:ascii="仿宋_GB2312" w:hAnsi="仿宋_GB2312" w:cs="仿宋_GB2312" w:eastAsia="仿宋_GB2312"/>
                <w:sz w:val="20"/>
              </w:rPr>
              <w:t>GB50788-2012）</w:t>
            </w:r>
          </w:p>
          <w:p>
            <w:pPr>
              <w:pStyle w:val="null3"/>
              <w:ind w:firstLine="400"/>
              <w:jc w:val="left"/>
            </w:pPr>
            <w:r>
              <w:rPr>
                <w:rFonts w:ascii="仿宋_GB2312" w:hAnsi="仿宋_GB2312" w:cs="仿宋_GB2312" w:eastAsia="仿宋_GB2312"/>
                <w:sz w:val="20"/>
              </w:rPr>
              <w:t>《铁路通信设计规范》</w:t>
            </w:r>
            <w:r>
              <w:rPr>
                <w:rFonts w:ascii="仿宋_GB2312" w:hAnsi="仿宋_GB2312" w:cs="仿宋_GB2312" w:eastAsia="仿宋_GB2312"/>
                <w:sz w:val="20"/>
              </w:rPr>
              <w:t>(TB10006—2016)</w:t>
            </w:r>
          </w:p>
          <w:p>
            <w:pPr>
              <w:pStyle w:val="null3"/>
              <w:ind w:firstLine="400"/>
              <w:jc w:val="left"/>
            </w:pPr>
            <w:r>
              <w:rPr>
                <w:rFonts w:ascii="仿宋_GB2312" w:hAnsi="仿宋_GB2312" w:cs="仿宋_GB2312" w:eastAsia="仿宋_GB2312"/>
                <w:sz w:val="20"/>
              </w:rPr>
              <w:t>《铁路信号设计规范》</w:t>
            </w:r>
            <w:r>
              <w:rPr>
                <w:rFonts w:ascii="仿宋_GB2312" w:hAnsi="仿宋_GB2312" w:cs="仿宋_GB2312" w:eastAsia="仿宋_GB2312"/>
                <w:sz w:val="20"/>
              </w:rPr>
              <w:t>(TB10007—2017)</w:t>
            </w:r>
          </w:p>
          <w:p>
            <w:pPr>
              <w:pStyle w:val="null3"/>
              <w:ind w:firstLine="400"/>
              <w:jc w:val="left"/>
            </w:pPr>
            <w:r>
              <w:rPr>
                <w:rFonts w:ascii="仿宋_GB2312" w:hAnsi="仿宋_GB2312" w:cs="仿宋_GB2312" w:eastAsia="仿宋_GB2312"/>
                <w:sz w:val="20"/>
              </w:rPr>
              <w:t>《铁路电力设计规范》</w:t>
            </w:r>
            <w:r>
              <w:rPr>
                <w:rFonts w:ascii="仿宋_GB2312" w:hAnsi="仿宋_GB2312" w:cs="仿宋_GB2312" w:eastAsia="仿宋_GB2312"/>
                <w:sz w:val="20"/>
              </w:rPr>
              <w:t>(TB10008—2015)</w:t>
            </w:r>
          </w:p>
          <w:p>
            <w:pPr>
              <w:pStyle w:val="null3"/>
              <w:ind w:firstLine="400"/>
              <w:jc w:val="left"/>
            </w:pPr>
            <w:r>
              <w:rPr>
                <w:rFonts w:ascii="仿宋_GB2312" w:hAnsi="仿宋_GB2312" w:cs="仿宋_GB2312" w:eastAsia="仿宋_GB2312"/>
                <w:sz w:val="20"/>
              </w:rPr>
              <w:t>《中国国家铁路集团有限公司工电部《国铁集团工电部关于加强穿（跨）越铁路营业线和邻近营业线工程方案等审查和施工安全管理的通知》（工电桥房函【</w:t>
            </w:r>
            <w:r>
              <w:rPr>
                <w:rFonts w:ascii="仿宋_GB2312" w:hAnsi="仿宋_GB2312" w:cs="仿宋_GB2312" w:eastAsia="仿宋_GB2312"/>
                <w:sz w:val="20"/>
              </w:rPr>
              <w:t>2020】48 号）</w:t>
            </w:r>
          </w:p>
          <w:p>
            <w:pPr>
              <w:pStyle w:val="null3"/>
              <w:ind w:firstLine="400"/>
              <w:jc w:val="left"/>
            </w:pPr>
            <w:r>
              <w:rPr>
                <w:rFonts w:ascii="仿宋_GB2312" w:hAnsi="仿宋_GB2312" w:cs="仿宋_GB2312" w:eastAsia="仿宋_GB2312"/>
                <w:sz w:val="20"/>
              </w:rPr>
              <w:t>《中华人民共和国环境保护法》（自</w:t>
            </w:r>
            <w:r>
              <w:rPr>
                <w:rFonts w:ascii="仿宋_GB2312" w:hAnsi="仿宋_GB2312" w:cs="仿宋_GB2312" w:eastAsia="仿宋_GB2312"/>
                <w:sz w:val="20"/>
              </w:rPr>
              <w:t>2015年1月1日起施行）</w:t>
            </w:r>
          </w:p>
          <w:p>
            <w:pPr>
              <w:pStyle w:val="null3"/>
              <w:ind w:firstLine="400"/>
              <w:jc w:val="left"/>
            </w:pPr>
            <w:r>
              <w:rPr>
                <w:rFonts w:ascii="仿宋_GB2312" w:hAnsi="仿宋_GB2312" w:cs="仿宋_GB2312" w:eastAsia="仿宋_GB2312"/>
                <w:sz w:val="20"/>
              </w:rPr>
              <w:t>《给水排水工程顶管技术规程》（</w:t>
            </w:r>
            <w:r>
              <w:rPr>
                <w:rFonts w:ascii="仿宋_GB2312" w:hAnsi="仿宋_GB2312" w:cs="仿宋_GB2312" w:eastAsia="仿宋_GB2312"/>
                <w:sz w:val="20"/>
              </w:rPr>
              <w:t>CECS 246-2008）；</w:t>
            </w:r>
          </w:p>
          <w:p>
            <w:pPr>
              <w:pStyle w:val="null3"/>
              <w:ind w:firstLine="400"/>
              <w:jc w:val="left"/>
            </w:pPr>
            <w:r>
              <w:rPr>
                <w:rFonts w:ascii="仿宋_GB2312" w:hAnsi="仿宋_GB2312" w:cs="仿宋_GB2312" w:eastAsia="仿宋_GB2312"/>
                <w:sz w:val="20"/>
              </w:rPr>
              <w:t>《给水排水工程钢筋混凝土沉井结构设计规程》（</w:t>
            </w:r>
            <w:r>
              <w:rPr>
                <w:rFonts w:ascii="仿宋_GB2312" w:hAnsi="仿宋_GB2312" w:cs="仿宋_GB2312" w:eastAsia="仿宋_GB2312"/>
                <w:sz w:val="20"/>
              </w:rPr>
              <w:t>CECS137-2015）</w:t>
            </w:r>
          </w:p>
          <w:p>
            <w:pPr>
              <w:pStyle w:val="null3"/>
              <w:jc w:val="both"/>
            </w:pPr>
            <w:r>
              <w:rPr>
                <w:rFonts w:ascii="仿宋_GB2312" w:hAnsi="仿宋_GB2312" w:cs="仿宋_GB2312" w:eastAsia="仿宋_GB2312"/>
                <w:sz w:val="20"/>
                <w:b/>
                <w:color w:val="993300"/>
              </w:rPr>
              <w:t>3</w:t>
            </w:r>
            <w:r>
              <w:rPr>
                <w:rFonts w:ascii="仿宋_GB2312" w:hAnsi="仿宋_GB2312" w:cs="仿宋_GB2312" w:eastAsia="仿宋_GB2312"/>
                <w:sz w:val="20"/>
                <w:b/>
                <w:color w:val="993300"/>
              </w:rPr>
              <w:t>、服务期限及要求</w:t>
            </w:r>
          </w:p>
          <w:p>
            <w:pPr>
              <w:pStyle w:val="null3"/>
              <w:ind w:firstLine="400"/>
              <w:jc w:val="both"/>
            </w:pPr>
            <w:r>
              <w:rPr>
                <w:rFonts w:ascii="仿宋_GB2312" w:hAnsi="仿宋_GB2312" w:cs="仿宋_GB2312" w:eastAsia="仿宋_GB2312"/>
                <w:sz w:val="20"/>
              </w:rPr>
              <w:t>1.服务期限：自合同签订之日起30日历天提交设计成果，设计服务至该工程竣工审计决算。</w:t>
            </w:r>
          </w:p>
          <w:p>
            <w:pPr>
              <w:pStyle w:val="null3"/>
              <w:ind w:firstLine="400"/>
              <w:jc w:val="both"/>
            </w:pPr>
            <w:r>
              <w:rPr>
                <w:rFonts w:ascii="仿宋_GB2312" w:hAnsi="仿宋_GB2312" w:cs="仿宋_GB2312" w:eastAsia="仿宋_GB2312"/>
                <w:sz w:val="20"/>
              </w:rPr>
              <w:t>2.提交方案设计时间：合同签订后，设计人收到委托人提供的有关技术基础资料之日起10日内；</w:t>
            </w:r>
          </w:p>
          <w:p>
            <w:pPr>
              <w:pStyle w:val="null3"/>
              <w:ind w:firstLine="400"/>
              <w:jc w:val="both"/>
            </w:pPr>
            <w:r>
              <w:rPr>
                <w:rFonts w:ascii="仿宋_GB2312" w:hAnsi="仿宋_GB2312" w:cs="仿宋_GB2312" w:eastAsia="仿宋_GB2312"/>
                <w:sz w:val="20"/>
              </w:rPr>
              <w:t>施工图设计：</w:t>
            </w:r>
            <w:r>
              <w:rPr>
                <w:rFonts w:ascii="仿宋_GB2312" w:hAnsi="仿宋_GB2312" w:cs="仿宋_GB2312" w:eastAsia="仿宋_GB2312"/>
                <w:sz w:val="20"/>
              </w:rPr>
              <w:t>20日历天(方案设计确认后开始计日期,评审时间不包括)。</w:t>
            </w:r>
          </w:p>
          <w:p>
            <w:pPr>
              <w:pStyle w:val="null3"/>
              <w:jc w:val="both"/>
            </w:pPr>
            <w:r>
              <w:rPr>
                <w:rFonts w:ascii="仿宋_GB2312" w:hAnsi="仿宋_GB2312" w:cs="仿宋_GB2312" w:eastAsia="仿宋_GB2312"/>
                <w:sz w:val="20"/>
                <w:b/>
                <w:color w:val="993300"/>
              </w:rPr>
              <w:t>4</w:t>
            </w:r>
            <w:r>
              <w:rPr>
                <w:rFonts w:ascii="仿宋_GB2312" w:hAnsi="仿宋_GB2312" w:cs="仿宋_GB2312" w:eastAsia="仿宋_GB2312"/>
                <w:sz w:val="20"/>
                <w:b/>
                <w:color w:val="993300"/>
              </w:rPr>
              <w:t>、成果交付要求</w:t>
            </w:r>
          </w:p>
          <w:p>
            <w:pPr>
              <w:pStyle w:val="null3"/>
              <w:ind w:firstLine="400"/>
              <w:jc w:val="left"/>
            </w:pPr>
            <w:r>
              <w:rPr>
                <w:rFonts w:ascii="仿宋_GB2312" w:hAnsi="仿宋_GB2312" w:cs="仿宋_GB2312" w:eastAsia="仿宋_GB2312"/>
                <w:sz w:val="20"/>
              </w:rPr>
              <w:t>1.成果文件的组成：设计说明、图纸等</w:t>
            </w:r>
          </w:p>
          <w:p>
            <w:pPr>
              <w:pStyle w:val="null3"/>
              <w:ind w:firstLine="400"/>
              <w:jc w:val="left"/>
            </w:pPr>
            <w:r>
              <w:rPr>
                <w:rFonts w:ascii="仿宋_GB2312" w:hAnsi="仿宋_GB2312" w:cs="仿宋_GB2312" w:eastAsia="仿宋_GB2312"/>
                <w:sz w:val="20"/>
              </w:rPr>
              <w:t>2.成果文件的深度：符合相关规定及本项目要求。</w:t>
            </w:r>
          </w:p>
          <w:p>
            <w:pPr>
              <w:pStyle w:val="null3"/>
              <w:ind w:firstLine="400"/>
              <w:jc w:val="left"/>
            </w:pPr>
            <w:r>
              <w:rPr>
                <w:rFonts w:ascii="仿宋_GB2312" w:hAnsi="仿宋_GB2312" w:cs="仿宋_GB2312" w:eastAsia="仿宋_GB2312"/>
                <w:sz w:val="20"/>
              </w:rPr>
              <w:t>3.成果文件的格式要求：符合相关规定。</w:t>
            </w:r>
          </w:p>
          <w:p>
            <w:pPr>
              <w:pStyle w:val="null3"/>
              <w:ind w:firstLine="400"/>
              <w:jc w:val="left"/>
            </w:pPr>
            <w:r>
              <w:rPr>
                <w:rFonts w:ascii="仿宋_GB2312" w:hAnsi="仿宋_GB2312" w:cs="仿宋_GB2312" w:eastAsia="仿宋_GB2312"/>
                <w:sz w:val="20"/>
              </w:rPr>
              <w:t>4.成果文件的份数要求：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1）方案设计成果文件份数满足招标人使用要求；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2）施工图份数：八套；</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3）设计预算书：四套；</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4）设计预算、施工图纸等电子版。</w:t>
            </w:r>
          </w:p>
          <w:p>
            <w:pPr>
              <w:pStyle w:val="null3"/>
              <w:ind w:firstLine="400"/>
              <w:jc w:val="left"/>
            </w:pPr>
            <w:r>
              <w:rPr>
                <w:rFonts w:ascii="仿宋_GB2312" w:hAnsi="仿宋_GB2312" w:cs="仿宋_GB2312" w:eastAsia="仿宋_GB2312"/>
                <w:sz w:val="20"/>
              </w:rPr>
              <w:t>5.成果文件的载体要求：</w:t>
            </w:r>
          </w:p>
          <w:p>
            <w:pPr>
              <w:pStyle w:val="null3"/>
              <w:ind w:firstLine="400"/>
              <w:jc w:val="left"/>
            </w:pPr>
            <w:r>
              <w:rPr>
                <w:rFonts w:ascii="仿宋_GB2312" w:hAnsi="仿宋_GB2312" w:cs="仿宋_GB2312" w:eastAsia="仿宋_GB2312"/>
                <w:sz w:val="20"/>
              </w:rPr>
              <w:t>(1)纸质版的要求：符合国家规定，满足招标人使用需求。</w:t>
            </w:r>
          </w:p>
          <w:p>
            <w:pPr>
              <w:pStyle w:val="null3"/>
              <w:ind w:firstLine="400"/>
              <w:jc w:val="left"/>
            </w:pPr>
            <w:r>
              <w:rPr>
                <w:rFonts w:ascii="仿宋_GB2312" w:hAnsi="仿宋_GB2312" w:cs="仿宋_GB2312" w:eastAsia="仿宋_GB2312"/>
                <w:sz w:val="20"/>
              </w:rPr>
              <w:t>(2)电子版的要求：符合国家规定，满足招标人使用需求。</w:t>
            </w:r>
          </w:p>
          <w:p>
            <w:pPr>
              <w:pStyle w:val="null3"/>
              <w:jc w:val="both"/>
            </w:pPr>
            <w:r>
              <w:rPr>
                <w:rFonts w:ascii="仿宋_GB2312" w:hAnsi="仿宋_GB2312" w:cs="仿宋_GB2312" w:eastAsia="仿宋_GB2312"/>
                <w:sz w:val="20"/>
              </w:rPr>
              <w:t>(3)其他要求：符合相关规定。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服务标准：按照国家相关标准、行业标准、地方标准或者其他标准、规范标准执行。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自合同签订之日起30日历天提交设计成果，设计服务至该工程竣工审计决算。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按照国家、省、市、行业标准及采购人要求进行验收。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签订正式合同，设计方案审核通过后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施工图设计完成交付成果并经审查合格后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工程竣工验收合格后，若无因设计引起的质量问题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以双方最终签订的合同内具体条款约定为准。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1、设计人精心组织现场勘察及复查，保证设计的针对性和合理性，在实施过程中若发现异常情况，应立即向建设单位和有关部门汇报，并提出处理意见； 2、严格按照设计规范工作，达到国家与行业规范规定的设计要求。 3、在施工过程中委派专人设计代表及时到达施工现场，及时进行或确认相应的变更。 4、施工配合阶段 （1）负责工程设计交底，解答施工过程中施工单位有关施工图的问题，项目负责人及各专业设计负责人，及时对施工中与设计有关的问题做出回应，保证设计满足施工要求； （2）根据采购人以及项目建设要求，及时参加与设计有关的专题会，现场解决技术问题； （3）协助采购人处理工程洽商和设计变更，负责有关设计修改，及时办理相关手续； （4）参与与设计相关的必要的验收以及项目竣工验收工作，并及时办理相关手续； 5、以上设计要求中未明确的内容，以项目实施时招标人发出的设计任务书具体内容为准。 6、供应商需要在线提交所有通过电子化交易平台实施的政府采购项目的响应文件。注：成交供应商成交后需要提供纸质响应文件3份（一正两副），电子版1份，纸质响应文件需胶装，递交地址：西安市高新区唐延南路8号泰维智链中心一期B座2层206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具有独立承担民事责任能力的法人、其他组织或自然人，并出具合法有效的营业执照或事业单位法人证书等国家规定的相关证明，自然人参与的提供其身份证明；（附2024年年度报告）</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供应商提供2024年9月至今任意1个月已缴纳的社会保障资金缴存单据或社保机构开具的社会保险参保缴费情况证明；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2024年09月至今任意1个月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投标声明书</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具备履行合同所必需的设备和专业技术能力的承诺</w:t>
            </w:r>
          </w:p>
        </w:tc>
        <w:tc>
          <w:tcPr>
            <w:tcW w:type="dxa" w:w="3322"/>
          </w:tcPr>
          <w:p>
            <w:pPr>
              <w:pStyle w:val="null3"/>
            </w:pPr>
            <w:r>
              <w:rPr>
                <w:rFonts w:ascii="仿宋_GB2312" w:hAnsi="仿宋_GB2312" w:cs="仿宋_GB2312" w:eastAsia="仿宋_GB2312"/>
              </w:rPr>
              <w:t>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供应商不得列入“中国执行信息公开网”网站被列为失信被执行人、“信用中国”网站重大税收违法失信主体及“中国政府采购网”（http://www.ccgp.gov.cn/）政府采购严重违法失信行为记录名单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供应商须具有建设行政主管部门颁发的工程设计综合甲级资质或铁道行业设计甲（II）级 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供应商拟派设计项目负责人须具备隧道专业高级或桥梁工程专业高级及以上职称且在本单位注册。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（3）未超出采购预算或最高限价（4）未出现选择性报价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由磋商小组无记名投票确定供应商排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供应商提供总体设计方案。针对本项目设计目标、规模、内容理解透彻，思路清晰设计方案工作思路清晰、技术路线明确、任务分解科学合理得（10-15】分； 总体设计方案工作思路较为清晰、技术路线较明确、任务分解合理得（5-10】分；总体设计方案工作思路基本明确，任务分解基本合理，能够满足项目采购需求得（1-5】分；有总体设计方案，总体设计方案思路不清晰，混乱得1分；此项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服务质量保证措施。服务质量保证措施详细，管理制度完整，程序完善、合理，设计方案和图纸编制、审核流程严谨得（7-10】分；服务质量保证措施较完整，程序完善，设计方案和图纸编制、审核流程规范得（4-7】分；服务质量保证措施基本完善，程序合规，有相应的审核流程得（1-4】分；有服务质量保证措施，质量保证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设计进度计划及控制措施</w:t>
            </w:r>
          </w:p>
        </w:tc>
        <w:tc>
          <w:tcPr>
            <w:tcW w:type="dxa" w:w="2492"/>
          </w:tcPr>
          <w:p>
            <w:pPr>
              <w:pStyle w:val="null3"/>
            </w:pPr>
            <w:r>
              <w:rPr>
                <w:rFonts w:ascii="仿宋_GB2312" w:hAnsi="仿宋_GB2312" w:cs="仿宋_GB2312" w:eastAsia="仿宋_GB2312"/>
              </w:rPr>
              <w:t>供应商提供设计进度计划及控制措施。设计进度计划及控制措施满足采购要求的时间进度安排一览表或说明，时间进度安排详细完善、科学、合理性高（7-10】分；设计进度计划及控制措施较完善、时间进度安排合理，控制措施可行得（4-7】分；设计进度计划及控制措施基本清晰明了，能够基本满足项目采购需求得（1-4】分；设计进度计划及控制措施不清晰，内容简单，时间混乱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造价控制措施</w:t>
            </w:r>
          </w:p>
        </w:tc>
        <w:tc>
          <w:tcPr>
            <w:tcW w:type="dxa" w:w="2492"/>
          </w:tcPr>
          <w:p>
            <w:pPr>
              <w:pStyle w:val="null3"/>
            </w:pPr>
            <w:r>
              <w:rPr>
                <w:rFonts w:ascii="仿宋_GB2312" w:hAnsi="仿宋_GB2312" w:cs="仿宋_GB2312" w:eastAsia="仿宋_GB2312"/>
              </w:rPr>
              <w:t>1、造价控制措施全面详细，科学实用、合理性强、可操作性强且完全有利于本采购项目的得（5-8】分； 2、造价控制措施较为全面详细，具有一定科学实用性、合理性较好、可操作性较强基本有利于本采购项目的得 （2-5】分； 3、造价控制措施完备性一般，方案合理性一般、可操作性低或需要优化后才能基本满足项目需要的得（0-2】分；4、未提供措施或措施完全脱离项目实际的不得分。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针对本项目提供重点难点分析及解决措施。重点难点分析全面、科学合理，解决措施切实可行、可操作性强得（7-10】分；重点难点分析基本合理，解决措施具有可操作性得（4-7】分；重点难点分析内容空泛、无实质意义，未提供解决措施得（1-4】分；此项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供应商提供合理化建议。合理化建议内容合理，针对性强、明确、全面得（5-8】分；合理化建议内容有针对性，但尚有可以优化空间得（2-5】分； 合理化建议内容一般得1分，未提供不得分。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后期配合服务</w:t>
            </w:r>
          </w:p>
        </w:tc>
        <w:tc>
          <w:tcPr>
            <w:tcW w:type="dxa" w:w="2492"/>
          </w:tcPr>
          <w:p>
            <w:pPr>
              <w:pStyle w:val="null3"/>
            </w:pPr>
            <w:r>
              <w:rPr>
                <w:rFonts w:ascii="仿宋_GB2312" w:hAnsi="仿宋_GB2312" w:cs="仿宋_GB2312" w:eastAsia="仿宋_GB2312"/>
              </w:rPr>
              <w:t>一、评审内容 针对本项目有配合服务工作计划及保证措施，包括但不限于以下方面①配合服务工作计划；②内部团队人员之间的配合;③与采购人之间的配合及服务承诺。 二、评审标准：方案各部分内容全面详细、阐述条理清晰详尽、科学合理、切实可行、符合本项目采购需求得（4-8】分；评审内容有缺陷（缺陷是指：内容粗略、逻辑混乱、描述过于简单、与项目特点不匹配、凭空编造、逻辑漏洞、出现常识性错误、存在不适用项目实际情况的情形或只有标题没有实质性内容等。）的每项扣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投标人针对本项目有具体可行的团队配置方案，包括但不限于：①团队人员组织架构安排②团队人员的岗位职责③人员配置合理，有丰富的项目经验。 二、评审标准：方案各部分内容全面详细、阐述条理清晰详尽、科学合理、切实可行、符合本项目采购需求得（6-9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项目负责人类似业绩：提供项目负责人近年（2022年1月起至今）的类似项目业绩，一项计1.0分，本项最高2分。未提供不得分。 注： 以加盖公章的业绩合同、中标通知书、有效其他文件三者选一即可，体现项目负责人姓名，时间以签署日期为准。企业类似项目业绩和项目负责人类似项目业绩证明材料可重复赋分。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具有2022年9月1日以后类似项目业绩（以合同或中标（成交）通知书复印件加盖公章为依据）。每提供一个业绩得2.5分，满分5分。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 投标报价得分=（评审基准价/投标报价） ×15 投标报价明显低于其他投标人，经磋商小组质询后不能在规定时间内说明理由，或说明理由但评审委员会认为理由不能成立的，客观上形成不良竞争，按无效标处理。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