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版本号：JZDCG-2025-03520250902001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瓜坡精细化工产业园地下水污染专项整治服务项目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JZDCG-2025-035</w:t>
      </w:r>
      <w:r>
        <w:br/>
      </w:r>
      <w:r>
        <w:br/>
      </w:r>
      <w:r>
        <w:br/>
      </w:r>
    </w:p>
    <w:p>
      <w:pPr>
        <w:pStyle w:val="null3"/>
        <w:jc w:val="center"/>
        <w:outlineLvl w:val="2"/>
      </w:pPr>
      <w:r>
        <w:rPr>
          <w:rFonts w:ascii="仿宋_GB2312" w:hAnsi="仿宋_GB2312" w:cs="仿宋_GB2312" w:eastAsia="仿宋_GB2312"/>
          <w:sz w:val="28"/>
          <w:b/>
        </w:rPr>
        <w:t>渭南市华州区工业园区管理委员会</w:t>
      </w:r>
    </w:p>
    <w:p>
      <w:pPr>
        <w:pStyle w:val="null3"/>
        <w:jc w:val="center"/>
        <w:outlineLvl w:val="2"/>
      </w:pPr>
      <w:r>
        <w:rPr>
          <w:rFonts w:ascii="仿宋_GB2312" w:hAnsi="仿宋_GB2312" w:cs="仿宋_GB2312" w:eastAsia="仿宋_GB2312"/>
          <w:sz w:val="28"/>
          <w:b/>
        </w:rPr>
        <w:t>陕西金准达项目管理有限责任公司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陕西金准达项目管理有限责任公司</w:t>
      </w:r>
      <w:r>
        <w:rPr>
          <w:rFonts w:ascii="仿宋_GB2312" w:hAnsi="仿宋_GB2312" w:cs="仿宋_GB2312" w:eastAsia="仿宋_GB2312"/>
        </w:rPr>
        <w:t>（以下简称“代理机构”）受</w:t>
      </w:r>
      <w:r>
        <w:rPr>
          <w:rFonts w:ascii="仿宋_GB2312" w:hAnsi="仿宋_GB2312" w:cs="仿宋_GB2312" w:eastAsia="仿宋_GB2312"/>
        </w:rPr>
        <w:t>渭南市华州区工业园区管理委员会</w:t>
      </w:r>
      <w:r>
        <w:rPr>
          <w:rFonts w:ascii="仿宋_GB2312" w:hAnsi="仿宋_GB2312" w:cs="仿宋_GB2312" w:eastAsia="仿宋_GB2312"/>
        </w:rPr>
        <w:t>委托，拟对</w:t>
      </w:r>
      <w:r>
        <w:rPr>
          <w:rFonts w:ascii="仿宋_GB2312" w:hAnsi="仿宋_GB2312" w:cs="仿宋_GB2312" w:eastAsia="仿宋_GB2312"/>
        </w:rPr>
        <w:t>瓜坡精细化工产业园地下水污染专项整治服务项目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JZDCG-2025-035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瓜坡精细化工产业园地下水污染专项整治服务项目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对化工园区地下水污染开展现场核查，对污染源筛选，建立污染源排查清单，对地下水污染隐患排查，编制整治方案并进行技术审核。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采购包1（瓜坡精细化工产业园地下水污染专项整治服务项目）：属于专门面向中小企业采购。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1、主体资格证明：法人或者其他组织的营业执照等证明文件或者自然人身份证明；</w:t>
      </w:r>
    </w:p>
    <w:p>
      <w:pPr>
        <w:pStyle w:val="null3"/>
      </w:pPr>
      <w:r>
        <w:rPr>
          <w:rFonts w:ascii="仿宋_GB2312" w:hAnsi="仿宋_GB2312" w:cs="仿宋_GB2312" w:eastAsia="仿宋_GB2312"/>
        </w:rPr>
        <w:t>2、社会保障资金缴纳证明：自2025年01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p>
      <w:pPr>
        <w:pStyle w:val="null3"/>
      </w:pPr>
      <w:r>
        <w:rPr>
          <w:rFonts w:ascii="仿宋_GB2312" w:hAnsi="仿宋_GB2312" w:cs="仿宋_GB2312" w:eastAsia="仿宋_GB2312"/>
        </w:rPr>
        <w:t>3、税收缴纳证明：自2025年01月01日以来已缴存的至少一个月的纳税证明或完税证明，纳税证明或完税证明上应有代收机构或税务机关的公章或业务专用章。依法免税的投标人应提供相关文件证明；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信用查询：未被列入“信用中国”网站（www.creditchina.gov.cn）失信被执行人和重大税收违法案件当事人名单，不得为“中国政府采购网”（www.ccgp.gov.cn）政府采购严重违法失信行为记录名单中禁止参加政府采购活动的投标人；</w:t>
      </w:r>
    </w:p>
    <w:p>
      <w:pPr>
        <w:pStyle w:val="null3"/>
      </w:pPr>
      <w:r>
        <w:rPr>
          <w:rFonts w:ascii="仿宋_GB2312" w:hAnsi="仿宋_GB2312" w:cs="仿宋_GB2312" w:eastAsia="仿宋_GB2312"/>
        </w:rPr>
        <w:t>5、法定代表人授权委托书：法定代表人参加磋商的，须提供法定代表人身份证明书；法定代表人授权他人参加磋商的，须提供法定代表人委托授权书；</w:t>
      </w:r>
    </w:p>
    <w:p>
      <w:pPr>
        <w:pStyle w:val="null3"/>
      </w:pPr>
      <w:r>
        <w:rPr>
          <w:rFonts w:ascii="仿宋_GB2312" w:hAnsi="仿宋_GB2312" w:cs="仿宋_GB2312" w:eastAsia="仿宋_GB2312"/>
        </w:rPr>
        <w:t>6、无重大违法记录：参加政府采购活动前三年内在经营活动中没有重大违法记录的声明函；</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渭南市华州区工业园区管理委员会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陕西省渭南市华州区瓜坡镇陕化路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0913-4712511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陕西金准达项目管理有限责任公司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西安市高新区科技五路3号橡树星座B座902室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毕云、王军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029-89555599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18992320959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无产品</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开户名称：陕西金准达项目管理有限责任公司项目保证金专户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银行账号：129911244910001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招标代理服务收费管理暂行办法》的通知（计价格〔2002〕1980号）、《国家发展和改革委员会办公厅关于招标代理服务收费有关问题的通知》（发改办价格〔2011〕534号）文件计取； （2）代理服务费的交纳方式： 开户名称：陕西金准达项目管理有限责任公司 开户行名称：招商银行西安分行营业部 账 号：129911244910902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渭南市华州区工业园区管理委员会</w:t>
      </w:r>
      <w:r>
        <w:rPr>
          <w:rFonts w:ascii="仿宋_GB2312" w:hAnsi="仿宋_GB2312" w:cs="仿宋_GB2312" w:eastAsia="仿宋_GB2312"/>
        </w:rPr>
        <w:t>和</w:t>
      </w:r>
      <w:r>
        <w:rPr>
          <w:rFonts w:ascii="仿宋_GB2312" w:hAnsi="仿宋_GB2312" w:cs="仿宋_GB2312" w:eastAsia="仿宋_GB2312"/>
        </w:rPr>
        <w:t>陕西金准达项目管理有限责任公司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渭南市华州区工业园区管理委员会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陕西金准达项目管理有限责任公司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渭南市华州区工业园区管理委员会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陕西金准达项目管理有限责任公司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联系人：毕云、王军</w:t>
      </w:r>
    </w:p>
    <w:p>
      <w:pPr>
        <w:pStyle w:val="null3"/>
      </w:pPr>
      <w:r>
        <w:rPr>
          <w:rFonts w:ascii="仿宋_GB2312" w:hAnsi="仿宋_GB2312" w:cs="仿宋_GB2312" w:eastAsia="仿宋_GB2312"/>
        </w:rPr>
        <w:t>联系电话：029-89555599</w:t>
      </w:r>
    </w:p>
    <w:p>
      <w:pPr>
        <w:pStyle w:val="null3"/>
      </w:pPr>
      <w:r>
        <w:rPr>
          <w:rFonts w:ascii="仿宋_GB2312" w:hAnsi="仿宋_GB2312" w:cs="仿宋_GB2312" w:eastAsia="仿宋_GB2312"/>
        </w:rPr>
        <w:t>地址：西安市高新区科技五路3号橡树星座B座902室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瓜坡精细化工园区作为2025-2026年开展地下水污染专项整治的重点。按照“溯源排查-整治断源-成效评估-后期管理”工作流程，在确保安全的前提下，针对化工园区重点场所和重点企业，排查设施设备渗漏、防渗层破损、历史遗留固废等环境污染隐患，查明污染来源，采取断源措施防止新增污染，对化工园区地下水污染开展现场核查，对污染源筛选，建立污染源排查清单，对地下水污染隐患排查，编制整治方案并进行技术审核。</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968,000.00</w:t>
      </w:r>
    </w:p>
    <w:p>
      <w:pPr>
        <w:pStyle w:val="null3"/>
      </w:pPr>
      <w:r>
        <w:rPr>
          <w:rFonts w:ascii="仿宋_GB2312" w:hAnsi="仿宋_GB2312" w:cs="仿宋_GB2312" w:eastAsia="仿宋_GB2312"/>
        </w:rPr>
        <w:t>采购包最高限价（元）: 968,000.00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地下水污染专项整治服务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968,000.00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标的名称：地下水污染专项整治服务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1、服务内容</w:t>
            </w:r>
          </w:p>
          <w:p>
            <w:pPr>
              <w:pStyle w:val="null3"/>
            </w:pPr>
            <w:r>
              <w:rPr>
                <w:rFonts w:ascii="仿宋_GB2312" w:hAnsi="仿宋_GB2312" w:cs="仿宋_GB2312" w:eastAsia="仿宋_GB2312"/>
                <w:sz w:val="21"/>
              </w:rPr>
              <w:t>（1）针对化工园区地下水污染专项整治成效评估涉及的地下水监测井进行取样检测，出具检测报告，确认无误后上传全国地下水生态环境监管系统；</w:t>
            </w:r>
          </w:p>
          <w:p>
            <w:pPr>
              <w:pStyle w:val="null3"/>
            </w:pPr>
            <w:r>
              <w:rPr>
                <w:rFonts w:ascii="仿宋_GB2312" w:hAnsi="仿宋_GB2312" w:cs="仿宋_GB2312" w:eastAsia="仿宋_GB2312"/>
                <w:sz w:val="21"/>
              </w:rPr>
              <w:t>（2）开展化工园区污染源排查，排查出的污染隐患，建立问题清单，制定化工园区地下水污染专项整治方案。</w:t>
            </w:r>
          </w:p>
          <w:p>
            <w:pPr>
              <w:pStyle w:val="null3"/>
            </w:pPr>
            <w:r>
              <w:rPr>
                <w:rFonts w:ascii="仿宋_GB2312" w:hAnsi="仿宋_GB2312" w:cs="仿宋_GB2312" w:eastAsia="仿宋_GB2312"/>
                <w:sz w:val="21"/>
              </w:rPr>
              <w:t>2、编制依据</w:t>
            </w:r>
          </w:p>
          <w:p>
            <w:pPr>
              <w:pStyle w:val="null3"/>
            </w:pPr>
            <w:r>
              <w:rPr>
                <w:rFonts w:ascii="仿宋_GB2312" w:hAnsi="仿宋_GB2312" w:cs="仿宋_GB2312" w:eastAsia="仿宋_GB2312"/>
                <w:sz w:val="21"/>
              </w:rPr>
              <w:t>编制应符合下列法律法规、政策性文件及标准规范要求（包含但不限于下列内容）：</w:t>
            </w:r>
          </w:p>
          <w:p>
            <w:pPr>
              <w:pStyle w:val="null3"/>
            </w:pPr>
            <w:r>
              <w:rPr>
                <w:rFonts w:ascii="仿宋_GB2312" w:hAnsi="仿宋_GB2312" w:cs="仿宋_GB2312" w:eastAsia="仿宋_GB2312"/>
                <w:sz w:val="21"/>
              </w:rPr>
              <w:t>法律法规：</w:t>
            </w:r>
          </w:p>
          <w:p>
            <w:pPr>
              <w:pStyle w:val="null3"/>
            </w:pPr>
            <w:r>
              <w:rPr>
                <w:rFonts w:ascii="仿宋_GB2312" w:hAnsi="仿宋_GB2312" w:cs="仿宋_GB2312" w:eastAsia="仿宋_GB2312"/>
                <w:sz w:val="21"/>
              </w:rPr>
              <w:t>（1）《中华人民共和国环境保护法》；</w:t>
            </w:r>
          </w:p>
          <w:p>
            <w:pPr>
              <w:pStyle w:val="null3"/>
            </w:pPr>
            <w:r>
              <w:rPr>
                <w:rFonts w:ascii="仿宋_GB2312" w:hAnsi="仿宋_GB2312" w:cs="仿宋_GB2312" w:eastAsia="仿宋_GB2312"/>
                <w:sz w:val="21"/>
              </w:rPr>
              <w:t>（2）《中华人民共和国水污染防治法》；</w:t>
            </w:r>
          </w:p>
          <w:p>
            <w:pPr>
              <w:pStyle w:val="null3"/>
            </w:pPr>
            <w:r>
              <w:rPr>
                <w:rFonts w:ascii="仿宋_GB2312" w:hAnsi="仿宋_GB2312" w:cs="仿宋_GB2312" w:eastAsia="仿宋_GB2312"/>
                <w:sz w:val="21"/>
              </w:rPr>
              <w:t>（3）《中华人民共和国土壤污染防治法》；</w:t>
            </w:r>
          </w:p>
          <w:p>
            <w:pPr>
              <w:pStyle w:val="null3"/>
            </w:pPr>
            <w:r>
              <w:rPr>
                <w:rFonts w:ascii="仿宋_GB2312" w:hAnsi="仿宋_GB2312" w:cs="仿宋_GB2312" w:eastAsia="仿宋_GB2312"/>
                <w:sz w:val="21"/>
              </w:rPr>
              <w:t>标准规范、要求：</w:t>
            </w:r>
          </w:p>
          <w:p>
            <w:pPr>
              <w:pStyle w:val="null3"/>
            </w:pPr>
            <w:r>
              <w:rPr>
                <w:rFonts w:ascii="仿宋_GB2312" w:hAnsi="仿宋_GB2312" w:cs="仿宋_GB2312" w:eastAsia="仿宋_GB2312"/>
                <w:sz w:val="21"/>
              </w:rPr>
              <w:t>（1）生态环境部《化工园区地下水污染专项整治工作方案》；</w:t>
            </w:r>
          </w:p>
          <w:p>
            <w:pPr>
              <w:pStyle w:val="null3"/>
            </w:pPr>
            <w:r>
              <w:rPr>
                <w:rFonts w:ascii="仿宋_GB2312" w:hAnsi="仿宋_GB2312" w:cs="仿宋_GB2312" w:eastAsia="仿宋_GB2312"/>
                <w:sz w:val="21"/>
              </w:rPr>
              <w:t>（2）陕西省生态环境厅《关于做好化工园区地下水污染专项整治有关工作的通知》（陕环土壤函[2025]27号）；</w:t>
            </w:r>
          </w:p>
          <w:p>
            <w:pPr>
              <w:pStyle w:val="null3"/>
            </w:pPr>
            <w:r>
              <w:rPr>
                <w:rFonts w:ascii="仿宋_GB2312" w:hAnsi="仿宋_GB2312" w:cs="仿宋_GB2312" w:eastAsia="仿宋_GB2312"/>
                <w:sz w:val="21"/>
              </w:rPr>
              <w:t>（3）《渭南市生态环境局关于做好化工园区地下水污染专项整治有关工作的函》（渭环函〔2025〕206号）。</w:t>
            </w:r>
          </w:p>
          <w:p>
            <w:pPr>
              <w:pStyle w:val="null3"/>
            </w:pPr>
            <w:r>
              <w:rPr>
                <w:rFonts w:ascii="仿宋_GB2312" w:hAnsi="仿宋_GB2312" w:cs="仿宋_GB2312" w:eastAsia="仿宋_GB2312"/>
                <w:sz w:val="21"/>
              </w:rPr>
              <w:t>其它相关法律法规、标准规范及要求。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须在当地成立项目部并常驻固定技术人员，项目部人员至少包含1名项目负责人及4名项目实施人员，其中项目负责人须具备水工环类相关专业高级技术职称。</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1、根据采购人提供的有关资料和上级部门的相关要求，依照有关法规和规范等要求，按双方拟定的进度，按时、保质、保量提供相关数据及文件资料。 2、负责项目工作会议涉及项目方案的汇报工作，负责提供会议汇报材料、成果等。 3、在项目工作过程和成果报审述程中与采购人密切配合，做好成果的修改完善，协助采购人上报成果。 4、在服务期间，若省、市出台其他规定，应以省、市其他规定为准，如遇上级政策调整，应按上级新的时间要求和新的编制规程及政策要求,对所做成果进行调整和完善，并满足采购人对本项目的使用。 5、应保护采购人的知识产权。未经采购人同意，不得向第三方转让采购人提供有关图纸等技术经济资料。如发生以上情况并给采购人造成损失，采购人有权提出索赔。 6、应积极配合采购人处理在项目实施过程中遇到的专业性问题。</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自合同签订之日起40日历天内完成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瓜坡精细化工园区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成果报告及图件通过市生态环境局组织的专家技术评审，成功报送省级生态环境部门。</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1、质量要求：符合国家、省、市有关标准，质量合格。 2、成果要求： （1）成果形式：过程资料、文本报告及图件 （2）成果内容包含： 过程资料： ①污染源排查清单 ②排查问题清单 成果报告： 根据化工园区地下水污染隐患排查的问题清单，对应提出整改断源任务，明确责任主体、阶段性目标、时限要求、整治成效评估方法等，编制化工园区地下水污染专项整治方案。 3、成果交付及数量：纸质成果与电子成果应同时交付采购人，纸质成果、电子成果按照采购人要求的数量和形式提供。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投标（响应）函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财务审计报告（至少包括资产负债表、利润表、现金流量表及财务报表附注）或开标前三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供应商需在项目电子化交易系统中按要求填写《投标（响应）函》承诺及一般资格审查证明材料后附“格式”进行填写完成并进行电子签章。</w:t>
            </w:r>
          </w:p>
        </w:tc>
        <w:tc>
          <w:tcPr>
            <w:tcW w:type="dxa" w:w="1661"/>
          </w:tcPr>
          <w:p>
            <w:pPr>
              <w:pStyle w:val="null3"/>
            </w:pPr>
            <w:r>
              <w:rPr>
                <w:rFonts w:ascii="仿宋_GB2312" w:hAnsi="仿宋_GB2312" w:cs="仿宋_GB2312" w:eastAsia="仿宋_GB2312"/>
              </w:rPr>
              <w:t>一般资格审查证明材料 投标（响应）函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2025年01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自2025年01月01日以来已缴存的至少一个月的纳税证明或完税证明，纳税证明或完税证明上应有代收机构或税务机关的公章或业务专用章。依法免税的投标人应提供相关文件证明；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案件当事人名单，不得为“中国政府采购网”（www.ccgp.gov.cn）政府采购严重违法失信行为记录名单中禁止参加政府采购活动的投标人；</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法定代表人参加磋商的，须提供法定代表人身份证明书；法定代表人授权他人参加磋商的，须提供法定代表人委托授权书；</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参加政府采购活动前三年内在经营活动中没有重大违法记录的声明函；</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特殊资格审查证明材料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磋商响应函签字盖章</w:t>
            </w:r>
          </w:p>
        </w:tc>
        <w:tc>
          <w:tcPr>
            <w:tcW w:type="dxa" w:w="3322"/>
          </w:tcPr>
          <w:p>
            <w:pPr>
              <w:pStyle w:val="null3"/>
            </w:pPr>
            <w:r>
              <w:rPr>
                <w:rFonts w:ascii="仿宋_GB2312" w:hAnsi="仿宋_GB2312" w:cs="仿宋_GB2312" w:eastAsia="仿宋_GB2312"/>
              </w:rPr>
              <w:t>有法定代表人或被授权人签字或盖章</w:t>
            </w:r>
          </w:p>
        </w:tc>
        <w:tc>
          <w:tcPr>
            <w:tcW w:type="dxa" w:w="1661"/>
          </w:tcPr>
          <w:p>
            <w:pPr>
              <w:pStyle w:val="null3"/>
            </w:pPr>
            <w:r>
              <w:rPr>
                <w:rFonts w:ascii="仿宋_GB2312" w:hAnsi="仿宋_GB2312" w:cs="仿宋_GB2312" w:eastAsia="仿宋_GB2312"/>
              </w:rPr>
              <w:t>磋商保证金 中小企业声明函 服务内容及服务要求应答表 报价表 特殊资格审查证明材料 响应文件封面 一般资格审查证明材料 残疾人福利性单位声明函 项目组成员总表 服务方案 标的清单 商务要求应答表 供应商类似项目业绩一览表 投标（响应）函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磋商保证金 中小企业声明函 服务内容及服务要求应答表 报价表 特殊资格审查证明材料 响应文件封面 残疾人福利性单位声明函 一般资格审查证明材料 项目组成员总表 服务方案 标的清单 商务要求应答表 供应商类似项目业绩一览表 投标（响应）函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磋商文件格式</w:t>
            </w:r>
          </w:p>
        </w:tc>
        <w:tc>
          <w:tcPr>
            <w:tcW w:type="dxa" w:w="3322"/>
          </w:tcPr>
          <w:p>
            <w:pPr>
              <w:pStyle w:val="null3"/>
            </w:pPr>
            <w:r>
              <w:rPr>
                <w:rFonts w:ascii="仿宋_GB2312" w:hAnsi="仿宋_GB2312" w:cs="仿宋_GB2312" w:eastAsia="仿宋_GB2312"/>
              </w:rPr>
              <w:t>符合磋商文件中“磋商响应文件格式”要求</w:t>
            </w:r>
          </w:p>
        </w:tc>
        <w:tc>
          <w:tcPr>
            <w:tcW w:type="dxa" w:w="1661"/>
          </w:tcPr>
          <w:p>
            <w:pPr>
              <w:pStyle w:val="null3"/>
            </w:pPr>
            <w:r>
              <w:rPr>
                <w:rFonts w:ascii="仿宋_GB2312" w:hAnsi="仿宋_GB2312" w:cs="仿宋_GB2312" w:eastAsia="仿宋_GB2312"/>
              </w:rPr>
              <w:t>磋商保证金 中小企业声明函 服务内容及服务要求应答表 报价表 特殊资格审查证明材料 响应文件封面 残疾人福利性单位声明函 一般资格审查证明材料 项目组成员总表 服务方案 标的清单 商务要求应答表 供应商类似项目业绩一览表 投标（响应）函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首次只能有一个有效报价，且不能超过本项目采购预算（最高限价）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磋商保证金 中小企业声明函 服务内容及服务要求应答表 报价表 特殊资格审查证明材料 响应文件封面 残疾人福利性单位声明函 一般资格审查证明材料 项目组成员总表 服务方案 标的清单 商务要求应答表 供应商类似项目业绩一览表 投标（响应）函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应符合磋商文件中对磋商保证金的规定</w:t>
            </w:r>
          </w:p>
        </w:tc>
        <w:tc>
          <w:tcPr>
            <w:tcW w:type="dxa" w:w="1661"/>
          </w:tcPr>
          <w:p>
            <w:pPr>
              <w:pStyle w:val="null3"/>
            </w:pPr>
            <w:r>
              <w:rPr>
                <w:rFonts w:ascii="仿宋_GB2312" w:hAnsi="仿宋_GB2312" w:cs="仿宋_GB2312" w:eastAsia="仿宋_GB2312"/>
              </w:rPr>
              <w:t>磋商保证金</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投标（响应）函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整体理解</w:t>
            </w:r>
          </w:p>
        </w:tc>
        <w:tc>
          <w:tcPr>
            <w:tcW w:type="dxa" w:w="2492"/>
          </w:tcPr>
          <w:p>
            <w:pPr>
              <w:pStyle w:val="null3"/>
            </w:pPr>
            <w:r>
              <w:rPr>
                <w:rFonts w:ascii="仿宋_GB2312" w:hAnsi="仿宋_GB2312" w:cs="仿宋_GB2312" w:eastAsia="仿宋_GB2312"/>
              </w:rPr>
              <w:t>包含但不限于：工作依据、工作目标与任务等理解的内容。 1、理解准确，认知及理解深刻、全面得(4-5]分； 2、理解较准确，认知及理解较深刻、较全面得(2-4]分； 3、理解不准确，认知及理解不深刻、不全面得(0-2]分； 4、未提供项目整体理解不得分。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化工园区环境背景</w:t>
            </w:r>
          </w:p>
        </w:tc>
        <w:tc>
          <w:tcPr>
            <w:tcW w:type="dxa" w:w="2492"/>
          </w:tcPr>
          <w:p>
            <w:pPr>
              <w:pStyle w:val="null3"/>
            </w:pPr>
            <w:r>
              <w:rPr>
                <w:rFonts w:ascii="仿宋_GB2312" w:hAnsi="仿宋_GB2312" w:cs="仿宋_GB2312" w:eastAsia="仿宋_GB2312"/>
              </w:rPr>
              <w:t>包含但不限于：对化工园区地下水和土壤的环境污染、已掌握污染现状及污染风险等进行描述、分析。 1、描述内容全面，已掌握资料丰富，问题分析准确深入得(8-10]分； 2、描述内容基本全面，已掌握资料较丰富，问题分析较准确深入得(5-8]分； 3、描述内容一般，已掌握资料不全，问题分析深度一般得(3-5]分； 4、描述内容不全面，已掌握资料匮乏，问题分析不准确深入得(0-3]分； 5、未提供化工园区环境背景的不得分。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地下水污染整治方案</w:t>
            </w:r>
          </w:p>
        </w:tc>
        <w:tc>
          <w:tcPr>
            <w:tcW w:type="dxa" w:w="2492"/>
          </w:tcPr>
          <w:p>
            <w:pPr>
              <w:pStyle w:val="null3"/>
            </w:pPr>
            <w:r>
              <w:rPr>
                <w:rFonts w:ascii="仿宋_GB2312" w:hAnsi="仿宋_GB2312" w:cs="仿宋_GB2312" w:eastAsia="仿宋_GB2312"/>
              </w:rPr>
              <w:t>紧扣目标、范围，通过技术路线、技术手段、任务设置及整治断源方案内容等进行描述。 1、描述内容全面、准确且深入，运用技术路线、手段清晰合理，任务设置合理，整治断源方案内容明确得(10-12]分； 2、描述内容较全面准确，运用技术路线、手段较清晰合理，任务设置较合理，整治断源方案内容较明确得(7-10]分； 3、描述内容比较一般，运用技术路线、手段一般，任务设置一般，整治断源方案内容一般得(4-7]分； 4、描述内容较差，运用技术路线、手段较差，任务设置较差，整治断源方案内容较差得(0-4]分； 5、未提供技术路线、技术手段、任务设置及整治断源方案内容的不得分。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包含但不限于：整体进度计划、各阶段进度安排、进度保障措施等内容。 1、进度计划详细、进度节点清晰，各阶段进度安排合理，进度保障措施全面得(8-10]分； 2、进度计划较详细、进度节点较清晰，各阶段进度安排较合理，进度保障措施较全面得(6-8]分； 3、进度计划一般，各阶段进度安排一般，进度保障措施一般得(3-6]分； 4、进度计划不详细、进度节点不清晰，各阶段进度安排不合理，进度保障措施不全面得(0-3]分； 5、未提供进度计划不得分。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项目组构成</w:t>
            </w:r>
          </w:p>
        </w:tc>
        <w:tc>
          <w:tcPr>
            <w:tcW w:type="dxa" w:w="2492"/>
          </w:tcPr>
          <w:p>
            <w:pPr>
              <w:pStyle w:val="null3"/>
            </w:pPr>
            <w:r>
              <w:rPr>
                <w:rFonts w:ascii="仿宋_GB2312" w:hAnsi="仿宋_GB2312" w:cs="仿宋_GB2312" w:eastAsia="仿宋_GB2312"/>
              </w:rPr>
              <w:t>包含但不限于：项目组人员部署、岗位职责分工、协调配合等内容。 1、项目组人员部署合理，分工明确，责任清晰，协调措施完善得(7-9]分； 2、项目组人员部署较合理，分工较明确，责任较清晰，协调措施较完善得(5-7]分； 3、项目组人员部署基本合理，分工基本明确，责任基本清晰，协调措施一般得(3-5]分； 4、项目组人员部署不合理，分工不明确，责任不清晰，协调措施不完善得(0-3]分； 5、未提供人员配备不得分。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1、除项目负责人外，项目组4名成员具有水工环类相关专业中级及以上职称，每提供一个得1分，最高得4分；本小项最高得分4分。 2、项目组每增加1名成员且该成员具有水工环类相关专业中级及以上职称得2分，最高得4分；本小项最高得分4分。 注：需提供人员身份证、职称证、近半年任意一个月的社保证明的复印件加盖公章，缺少任意一项均不得分。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项目组成员总表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质量保障及保密措施</w:t>
            </w:r>
          </w:p>
        </w:tc>
        <w:tc>
          <w:tcPr>
            <w:tcW w:type="dxa" w:w="2492"/>
          </w:tcPr>
          <w:p>
            <w:pPr>
              <w:pStyle w:val="null3"/>
            </w:pPr>
            <w:r>
              <w:rPr>
                <w:rFonts w:ascii="仿宋_GB2312" w:hAnsi="仿宋_GB2312" w:cs="仿宋_GB2312" w:eastAsia="仿宋_GB2312"/>
              </w:rPr>
              <w:t>包括但不限于：质量控制保证措施、数据资料保密措施。 1、质量控制、保障措施详细可行，数据安全防控措施完善得(8-10]分； 2、质量控制、保障措施较详细可行，数据安全防控措施较完善得(5-8]分； 3、质量控制、保障措施基本可行，数据安全防控措施一般得(3-5]分； 4、质量控制措施不可行，数据安全防控措施差得(0-3]分； 5、未提供质量控制及保密措施不得分。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对项目的重、 难点及关键技术对策分析</w:t>
            </w:r>
          </w:p>
        </w:tc>
        <w:tc>
          <w:tcPr>
            <w:tcW w:type="dxa" w:w="2492"/>
          </w:tcPr>
          <w:p>
            <w:pPr>
              <w:pStyle w:val="null3"/>
            </w:pPr>
            <w:r>
              <w:rPr>
                <w:rFonts w:ascii="仿宋_GB2312" w:hAnsi="仿宋_GB2312" w:cs="仿宋_GB2312" w:eastAsia="仿宋_GB2312"/>
              </w:rPr>
              <w:t>1、 针对本项目的重、难点分析到位，所提出的关键技术对策科学、合理，措施具体，可行性强，得(8-10]分； 2、针对本项目的重、难点分析较完善，所提出的关键技术对策较科学合理，措施较具体得(5-8]分； 3、针对本项目的重、难点分析一般，所提出的关键技术对策一般，措施一般得(3-5]分； 4、针对本项目的重、难点分析有缺陷，所提出的关键技术对策欠妥，得(0-3]分。 5、未提供对策分析不得分。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针对项目特点提供切实可行的服务承诺，例如：项目后续服务保障等。 1、承诺内容具有实质性、指标明确，切实可行得(4-5]分； 2、承诺内容一般、指标基本明确，可行性一般得(2-4]分； 3、承诺内容空泛，可行性差得(0-2]分； 4、未提供服务承诺不得分。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提供2022年1月1日起至今对地下水、土壤等环境污染整治服务类的业绩，每有1项得2分，最高得6分； 注：业绩以签订时间为准，须提供合同复印件，并加盖公章，未提供或不清晰导致无法识别的不予认可。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满足磋商文件要求且最终报价最低的供应商的价格为磋商基准价得15分，其他各供应商的最终报价得分按下列公式计算：（磋商基准价/最终磋商报价）×15％×100。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详见附件：投标（响应）函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详见附件：一般资格审查证明材料</w:t>
      </w:r>
    </w:p>
    <w:p>
      <w:pPr>
        <w:pStyle w:val="null3"/>
        <w:ind w:firstLine="960"/>
      </w:pPr>
      <w:r>
        <w:rPr>
          <w:rFonts w:ascii="仿宋_GB2312" w:hAnsi="仿宋_GB2312" w:cs="仿宋_GB2312" w:eastAsia="仿宋_GB2312"/>
        </w:rPr>
        <w:t>详见附件：特殊资格审查证明材料</w:t>
      </w:r>
    </w:p>
    <w:p>
      <w:pPr>
        <w:pStyle w:val="null3"/>
        <w:ind w:firstLine="960"/>
      </w:pPr>
      <w:r>
        <w:rPr>
          <w:rFonts w:ascii="仿宋_GB2312" w:hAnsi="仿宋_GB2312" w:cs="仿宋_GB2312" w:eastAsia="仿宋_GB2312"/>
        </w:rPr>
        <w:t>详见附件：商务要求应答表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详见附件：项目组成员总表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详见附件：磋商保证金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详见附件：合同（样本）.docx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