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版本号：HZGH-2025-02720250905001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渭南市华州区2024年度国土变更调查工作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HZGH-2025-027</w:t>
      </w:r>
      <w:r>
        <w:br/>
      </w:r>
      <w:r>
        <w:br/>
      </w:r>
      <w:r>
        <w:br/>
      </w:r>
    </w:p>
    <w:p>
      <w:pPr>
        <w:pStyle w:val="null3"/>
        <w:jc w:val="center"/>
        <w:outlineLvl w:val="2"/>
      </w:pPr>
      <w:r>
        <w:rPr>
          <w:rFonts w:ascii="仿宋_GB2312" w:hAnsi="仿宋_GB2312" w:cs="仿宋_GB2312" w:eastAsia="仿宋_GB2312"/>
          <w:sz w:val="28"/>
          <w:b/>
        </w:rPr>
        <w:t>渭南市华州区自然资源局</w:t>
      </w:r>
    </w:p>
    <w:p>
      <w:pPr>
        <w:pStyle w:val="null3"/>
        <w:jc w:val="center"/>
        <w:outlineLvl w:val="2"/>
      </w:pPr>
      <w:r>
        <w:rPr>
          <w:rFonts w:ascii="仿宋_GB2312" w:hAnsi="仿宋_GB2312" w:cs="仿宋_GB2312" w:eastAsia="仿宋_GB2312"/>
          <w:sz w:val="28"/>
          <w:b/>
        </w:rPr>
        <w:t>华招广和项目管理有限公司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华招广和项目管理有限公司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渭南市华州区自然资源局</w:t>
      </w:r>
      <w:r>
        <w:rPr>
          <w:rFonts w:ascii="仿宋_GB2312" w:hAnsi="仿宋_GB2312" w:cs="仿宋_GB2312" w:eastAsia="仿宋_GB2312"/>
        </w:rPr>
        <w:t>委托，拟对</w:t>
      </w:r>
      <w:r>
        <w:rPr>
          <w:rFonts w:ascii="仿宋_GB2312" w:hAnsi="仿宋_GB2312" w:cs="仿宋_GB2312" w:eastAsia="仿宋_GB2312"/>
        </w:rPr>
        <w:t>渭南市华州区2024年度国土变更调查工作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HZGH-2025-027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渭南市华州区2024年度国土变更调查工作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依据《中华人民共和国土地管理法》《土地调查条例》《土地调查条例实施办法》《第三次全国国土调查技术规程》（TD/T1055-2019）和《国土变更调查技术规程》，在2023年度国土变更调查成果基础上，结合2024年上半年自然资源监测等相关成果，开展全覆盖遥感监测工作，通过县级实地调查、逐级地类核查和全面检查，掌握2024年度华州区国土利用变化情况，更新国土调查数据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采购包1（渭南市华州区2024年度国土变更调查工作）：属于专门面向中小企业采购。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2023年度或2024年度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3、税收缴纳证明：提供2024年1月1日至今任意一个月已缴纳的纳税证明或完税证明（包含增值税、企业所得税、营业税至少一种）；（依法免税的投标人应提供相关文件证明）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4、社会保障资金缴纳证明：提供2024年1月1日至今任意一个月的社保缴费凭据或社保机构开具的社会保险参保缴费情况证明；（依法不需要缴纳社会保障资金的投标人应提供相关证明）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5、具有履行本合同所必需的设备和专业技术能力的说明及承诺：提供具有履行本合同所必需的设备和专业技术能力的说明及承诺；（格式自拟，加盖投标人公章）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6、参加政府采购活动前三年内在经营活动中没有重大违法记录的书面声明：提供参加政府采购活动前三年内在经营活动中没有重大违法记录的书面声明。（格式自拟，加盖投标人公章）</w:t>
      </w:r>
    </w:p>
    <w:p>
      <w:pPr>
        <w:pStyle w:val="null3"/>
      </w:pPr>
      <w:r>
        <w:rPr>
          <w:rFonts w:ascii="仿宋_GB2312" w:hAnsi="仿宋_GB2312" w:cs="仿宋_GB2312" w:eastAsia="仿宋_GB2312"/>
        </w:rPr>
        <w:t>7、法定代表人或负责人资格证明书：法定代表人或负责人参与投标时需提供法定代表人或负责人资格证明书（附法定代表人或负责人身份证复印件）;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8、法定代表人或负责人授权委托书：被授权人参与投标时需提供法定代表人或负责人授权委托书（附法定代表人或负责人及被授权人身份证复印件）；</w:t>
      </w:r>
    </w:p>
    <w:p>
      <w:pPr>
        <w:pStyle w:val="null3"/>
      </w:pPr>
      <w:r>
        <w:rPr>
          <w:rFonts w:ascii="仿宋_GB2312" w:hAnsi="仿宋_GB2312" w:cs="仿宋_GB2312" w:eastAsia="仿宋_GB2312"/>
        </w:rPr>
        <w:t>9、资质要求：投标人须具备主管部门颁发的测绘乙级（含乙级）及以上资质；</w:t>
      </w:r>
    </w:p>
    <w:p>
      <w:pPr>
        <w:pStyle w:val="null3"/>
      </w:pPr>
      <w:r>
        <w:rPr>
          <w:rFonts w:ascii="仿宋_GB2312" w:hAnsi="仿宋_GB2312" w:cs="仿宋_GB2312" w:eastAsia="仿宋_GB2312"/>
        </w:rPr>
        <w:t>10、投标保证金交纳凭证或担保函：投标保证金交纳凭证或担保函；（保证金交纳凭证复印件或担保函复印件加盖公章）</w:t>
      </w:r>
    </w:p>
    <w:p>
      <w:pPr>
        <w:pStyle w:val="null3"/>
      </w:pPr>
      <w:r>
        <w:rPr>
          <w:rFonts w:ascii="仿宋_GB2312" w:hAnsi="仿宋_GB2312" w:cs="仿宋_GB2312" w:eastAsia="仿宋_GB2312"/>
        </w:rPr>
        <w:t>11、信用查询：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书面承诺函，格式自拟加盖投标人公章）</w:t>
      </w:r>
    </w:p>
    <w:p>
      <w:pPr>
        <w:pStyle w:val="null3"/>
      </w:pPr>
      <w:r>
        <w:rPr>
          <w:rFonts w:ascii="仿宋_GB2312" w:hAnsi="仿宋_GB2312" w:cs="仿宋_GB2312" w:eastAsia="仿宋_GB2312"/>
        </w:rPr>
        <w:t>12、单位负责人为同一人或者存在直接控股、管理关系的不同投标人，不得参加同一合同项下的政府采购活动：单位负责人为同一人或者存在直接控股、管理关系的不同投标人，不得参加同一合同项下的政府采购活动；（提供书面承诺函，格式自拟加盖投标人公章）</w:t>
      </w:r>
    </w:p>
    <w:p>
      <w:pPr>
        <w:pStyle w:val="null3"/>
      </w:pPr>
      <w:r>
        <w:rPr>
          <w:rFonts w:ascii="仿宋_GB2312" w:hAnsi="仿宋_GB2312" w:cs="仿宋_GB2312" w:eastAsia="仿宋_GB2312"/>
        </w:rPr>
        <w:t>13、本项目不接受联合体投标：本项目不接受联合体投标。（提供书面承诺函，格式自拟加盖投标人公章）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渭南市华州区自然资源局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渭南市华州区子仪大街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渭南市华州区自然资源局经办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0913-4731223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华招广和项目管理有限公司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西安市雁塔区西部国际广场B座2803室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029-87592321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渭南市华州区政府采购管理股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采购包1：2,253,628.42元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开户名称：华招广和项目管理有限公司</w:t>
            </w:r>
          </w:p>
          <w:p>
            <w:pPr>
              <w:pStyle w:val="null3"/>
            </w:pPr>
            <w:r>
              <w:rPr>
                <w:rFonts w:ascii="仿宋_GB2312" w:hAnsi="仿宋_GB2312" w:cs="仿宋_GB2312" w:eastAsia="仿宋_GB2312"/>
              </w:rPr>
              <w:t>开户银行：中国建设银行股份有限公司西安金泰假日花城支行</w:t>
            </w:r>
          </w:p>
          <w:p>
            <w:pPr>
              <w:pStyle w:val="null3"/>
            </w:pPr>
            <w:r>
              <w:rPr>
                <w:rFonts w:ascii="仿宋_GB2312" w:hAnsi="仿宋_GB2312" w:cs="仿宋_GB2312" w:eastAsia="仿宋_GB2312"/>
              </w:rPr>
              <w:t>银行账号：6105 0186 5800 0000 0059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2、招标代理服务费应采用转账形式交纳。3、收款账户如下：收款单位：华招广和项目管理有限公司,开户银行：中国建设银行股份有限公司西安金泰假日花城支行,银行账号：6105 0186 5800 0000 0059。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渭南市华州区自然资源局</w:t>
      </w:r>
      <w:r>
        <w:rPr>
          <w:rFonts w:ascii="仿宋_GB2312" w:hAnsi="仿宋_GB2312" w:cs="仿宋_GB2312" w:eastAsia="仿宋_GB2312"/>
        </w:rPr>
        <w:t>和</w:t>
      </w:r>
      <w:r>
        <w:rPr>
          <w:rFonts w:ascii="仿宋_GB2312" w:hAnsi="仿宋_GB2312" w:cs="仿宋_GB2312" w:eastAsia="仿宋_GB2312"/>
        </w:rPr>
        <w:t>华招广和项目管理有限公司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渭南市华州区自然资源局</w:t>
      </w:r>
      <w:r>
        <w:rPr>
          <w:rFonts w:ascii="仿宋_GB2312" w:hAnsi="仿宋_GB2312" w:cs="仿宋_GB2312" w:eastAsia="仿宋_GB2312"/>
        </w:rPr>
        <w:t>负责解释。除上述招标文件内容，其他内容由</w:t>
      </w:r>
      <w:r>
        <w:rPr>
          <w:rFonts w:ascii="仿宋_GB2312" w:hAnsi="仿宋_GB2312" w:cs="仿宋_GB2312" w:eastAsia="仿宋_GB2312"/>
        </w:rPr>
        <w:t>华招广和项目管理有限公司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渭南市华州区自然资源局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华招广和项目管理有限公司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联系电话：029-87592321</w:t>
      </w:r>
    </w:p>
    <w:p>
      <w:pPr>
        <w:pStyle w:val="null3"/>
      </w:pPr>
      <w:r>
        <w:rPr>
          <w:rFonts w:ascii="仿宋_GB2312" w:hAnsi="仿宋_GB2312" w:cs="仿宋_GB2312" w:eastAsia="仿宋_GB2312"/>
        </w:rPr>
        <w:t>地址：西安市雁塔区西部国际广场B座2803室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中华人民共和国土地管理法》《土地调查条例》《土地调查条例实施办法》《第三次全国国土调查技术规程》（TD/T1055-2019）和《国土变更调查技术规程》，在2023年度国土变更调查成果基础上，结合2024年上半年自然资源监测等相关成果，开展全覆盖遥感监测工作，通过县级实地调查、逐级地类核查和全面检查，掌握2024年度华州区国土利用变化情况，更新国土调查数据库。</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2,253,628.42</w:t>
      </w:r>
    </w:p>
    <w:p>
      <w:pPr>
        <w:pStyle w:val="null3"/>
      </w:pPr>
      <w:r>
        <w:rPr>
          <w:rFonts w:ascii="仿宋_GB2312" w:hAnsi="仿宋_GB2312" w:cs="仿宋_GB2312" w:eastAsia="仿宋_GB2312"/>
        </w:rPr>
        <w:t>采购包最高限价（元）: 2,253,628.42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渭南市华州区2024年度国土变更调查工作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2,253,628.42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标的名称：渭南市华州区2024年度国土变更调查工作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jc w:val="both"/>
            </w:pPr>
            <w:r>
              <w:rPr>
                <w:rFonts w:ascii="仿宋_GB2312" w:hAnsi="仿宋_GB2312" w:cs="仿宋_GB2312" w:eastAsia="仿宋_GB2312"/>
                <w:b/>
              </w:rPr>
              <w:t>一、项目概况</w:t>
            </w:r>
          </w:p>
          <w:p>
            <w:pPr>
              <w:pStyle w:val="null3"/>
              <w:ind w:firstLine="384"/>
              <w:jc w:val="both"/>
            </w:pPr>
            <w:r>
              <w:rPr>
                <w:rFonts w:ascii="仿宋_GB2312" w:hAnsi="仿宋_GB2312" w:cs="仿宋_GB2312" w:eastAsia="仿宋_GB2312"/>
              </w:rPr>
              <w:t>（一）项目名称：</w:t>
            </w:r>
            <w:r>
              <w:rPr>
                <w:rFonts w:ascii="仿宋_GB2312" w:hAnsi="仿宋_GB2312" w:cs="仿宋_GB2312" w:eastAsia="仿宋_GB2312"/>
              </w:rPr>
              <w:t>渭南市华州区2024年度国土变更调查工作</w:t>
            </w:r>
          </w:p>
          <w:p>
            <w:pPr>
              <w:pStyle w:val="null3"/>
              <w:ind w:firstLine="384"/>
              <w:jc w:val="both"/>
            </w:pPr>
            <w:r>
              <w:rPr>
                <w:rFonts w:ascii="仿宋_GB2312" w:hAnsi="仿宋_GB2312" w:cs="仿宋_GB2312" w:eastAsia="仿宋_GB2312"/>
              </w:rPr>
              <w:t>（二）服务内容：</w:t>
            </w:r>
            <w:r>
              <w:rPr>
                <w:rFonts w:ascii="仿宋_GB2312" w:hAnsi="仿宋_GB2312" w:cs="仿宋_GB2312" w:eastAsia="仿宋_GB2312"/>
              </w:rPr>
              <w:t>华州区2024年</w:t>
            </w:r>
            <w:r>
              <w:rPr>
                <w:rFonts w:ascii="仿宋_GB2312" w:hAnsi="仿宋_GB2312" w:cs="仿宋_GB2312" w:eastAsia="仿宋_GB2312"/>
              </w:rPr>
              <w:t>度</w:t>
            </w:r>
            <w:r>
              <w:rPr>
                <w:rFonts w:ascii="仿宋_GB2312" w:hAnsi="仿宋_GB2312" w:cs="仿宋_GB2312" w:eastAsia="仿宋_GB2312"/>
              </w:rPr>
              <w:t>国土</w:t>
            </w:r>
            <w:r>
              <w:rPr>
                <w:rFonts w:ascii="仿宋_GB2312" w:hAnsi="仿宋_GB2312" w:cs="仿宋_GB2312" w:eastAsia="仿宋_GB2312"/>
              </w:rPr>
              <w:t>变更</w:t>
            </w:r>
            <w:r>
              <w:rPr>
                <w:rFonts w:ascii="仿宋_GB2312" w:hAnsi="仿宋_GB2312" w:cs="仿宋_GB2312" w:eastAsia="仿宋_GB2312"/>
              </w:rPr>
              <w:t>调</w:t>
            </w:r>
            <w:r>
              <w:rPr>
                <w:rFonts w:ascii="仿宋_GB2312" w:hAnsi="仿宋_GB2312" w:cs="仿宋_GB2312" w:eastAsia="仿宋_GB2312"/>
              </w:rPr>
              <w:t>查工作</w:t>
            </w:r>
            <w:r>
              <w:rPr>
                <w:rFonts w:ascii="仿宋_GB2312" w:hAnsi="仿宋_GB2312" w:cs="仿宋_GB2312" w:eastAsia="仿宋_GB2312"/>
              </w:rPr>
              <w:t>，</w:t>
            </w:r>
            <w:r>
              <w:rPr>
                <w:rFonts w:ascii="仿宋_GB2312" w:hAnsi="仿宋_GB2312" w:cs="仿宋_GB2312" w:eastAsia="仿宋_GB2312"/>
              </w:rPr>
              <w:t>依据《中华人民共和国土地管理法》《土地调查条例》《土地调查条例实施办法》《第三次全国国土调查技术规程》（TD/T1055-2019）和《国土变更调查技术规程》，在2023年度国土变更调查成果基础上，结合2024年上半年自然资源监测等相关成果，开展全覆盖遥感监测工作，通过县级实地调查、逐级地类核查和全面检查，掌握2024年度华州区国土利用变化情况，更新国土调查数据库。</w:t>
            </w:r>
          </w:p>
          <w:p>
            <w:pPr>
              <w:pStyle w:val="null3"/>
              <w:ind w:firstLine="384"/>
              <w:jc w:val="both"/>
            </w:pPr>
            <w:r>
              <w:rPr>
                <w:rFonts w:ascii="仿宋_GB2312" w:hAnsi="仿宋_GB2312" w:cs="仿宋_GB2312" w:eastAsia="仿宋_GB2312"/>
              </w:rPr>
              <w:t>（三）服务要求</w:t>
            </w:r>
            <w:r>
              <w:rPr>
                <w:rFonts w:ascii="仿宋_GB2312" w:hAnsi="仿宋_GB2312" w:cs="仿宋_GB2312" w:eastAsia="仿宋_GB2312"/>
              </w:rPr>
              <w:t>：</w:t>
            </w:r>
          </w:p>
          <w:p>
            <w:pPr>
              <w:pStyle w:val="null3"/>
              <w:ind w:left="210" w:firstLine="384"/>
              <w:jc w:val="both"/>
            </w:pPr>
            <w:r>
              <w:rPr>
                <w:rFonts w:ascii="仿宋_GB2312" w:hAnsi="仿宋_GB2312" w:cs="仿宋_GB2312" w:eastAsia="仿宋_GB2312"/>
              </w:rPr>
              <w:t>(1)日常变更调查图斑核实确认</w:t>
            </w:r>
            <w:r>
              <w:rPr>
                <w:rFonts w:ascii="仿宋_GB2312" w:hAnsi="仿宋_GB2312" w:cs="仿宋_GB2312" w:eastAsia="仿宋_GB2312"/>
              </w:rPr>
              <w:t>。部</w:t>
            </w:r>
            <w:r>
              <w:rPr>
                <w:rFonts w:ascii="仿宋_GB2312" w:hAnsi="仿宋_GB2312" w:cs="仿宋_GB2312" w:eastAsia="仿宋_GB2312"/>
              </w:rPr>
              <w:t>以县级调查单元为单位,通过“国土调查云”平台下发日常变更调查汇聚集成成果,省厅及时将“国土调查云”平台中的年度变更调查基础数据同步至“陕西省自然资源调查监测云平台”(以下简称“云平台”),用于开展年度变更调查工作。县级应依据核实确认结果将全部日常变更调查图斑纳入年度变更调查,对实地现状发生变化的,按照年度变更调查要求进行变更。</w:t>
            </w:r>
          </w:p>
          <w:p>
            <w:pPr>
              <w:pStyle w:val="null3"/>
              <w:ind w:left="210" w:firstLine="384"/>
              <w:jc w:val="both"/>
            </w:pPr>
            <w:r>
              <w:rPr>
                <w:rFonts w:ascii="仿宋_GB2312" w:hAnsi="仿宋_GB2312" w:cs="仿宋_GB2312" w:eastAsia="仿宋_GB2312"/>
              </w:rPr>
              <w:t>(2)实地调查核实举证。负责做好本地区年度变更调查的组织实施、实地调查举证、调查举证成果自检和数据库建设等工作,并对本地区年度变更调查成果的完整性、规范性、真实性和准确性负责。</w:t>
            </w:r>
          </w:p>
          <w:p>
            <w:pPr>
              <w:pStyle w:val="null3"/>
              <w:ind w:left="210" w:firstLine="384"/>
              <w:jc w:val="both"/>
            </w:pPr>
            <w:r>
              <w:rPr>
                <w:rFonts w:ascii="仿宋_GB2312" w:hAnsi="仿宋_GB2312" w:cs="仿宋_GB2312" w:eastAsia="仿宋_GB2312"/>
              </w:rPr>
              <w:t>(3)国土调查数据库更新。在2023年度国土调查数据库基础上,对涉及地类属性及相关图层变更的图斑,按照数据库更新技术要求,形成年度变更调查更新数据增量包,自检合格后于2025年1月5日前上报市级自然资源主管部门。</w:t>
            </w:r>
          </w:p>
          <w:p>
            <w:pPr>
              <w:pStyle w:val="null3"/>
              <w:ind w:left="210" w:firstLine="384"/>
              <w:jc w:val="both"/>
            </w:pPr>
            <w:r>
              <w:rPr>
                <w:rFonts w:ascii="仿宋_GB2312" w:hAnsi="仿宋_GB2312" w:cs="仿宋_GB2312" w:eastAsia="仿宋_GB2312"/>
              </w:rPr>
              <w:t>(4)</w:t>
            </w:r>
            <w:r>
              <w:rPr>
                <w:rFonts w:ascii="仿宋_GB2312" w:hAnsi="仿宋_GB2312" w:cs="仿宋_GB2312" w:eastAsia="仿宋_GB2312"/>
              </w:rPr>
              <w:t>配合</w:t>
            </w:r>
            <w:r>
              <w:rPr>
                <w:rFonts w:ascii="仿宋_GB2312" w:hAnsi="仿宋_GB2312" w:cs="仿宋_GB2312" w:eastAsia="仿宋_GB2312"/>
              </w:rPr>
              <w:t>市级</w:t>
            </w:r>
            <w:r>
              <w:rPr>
                <w:rFonts w:ascii="仿宋_GB2312" w:hAnsi="仿宋_GB2312" w:cs="仿宋_GB2312" w:eastAsia="仿宋_GB2312"/>
              </w:rPr>
              <w:t>、省级</w:t>
            </w:r>
            <w:r>
              <w:rPr>
                <w:rFonts w:ascii="仿宋_GB2312" w:hAnsi="仿宋_GB2312" w:cs="仿宋_GB2312" w:eastAsia="仿宋_GB2312"/>
              </w:rPr>
              <w:t>检查。市级</w:t>
            </w:r>
            <w:r>
              <w:rPr>
                <w:rFonts w:ascii="仿宋_GB2312" w:hAnsi="仿宋_GB2312" w:cs="仿宋_GB2312" w:eastAsia="仿宋_GB2312"/>
              </w:rPr>
              <w:t>、省级</w:t>
            </w:r>
            <w:r>
              <w:rPr>
                <w:rFonts w:ascii="仿宋_GB2312" w:hAnsi="仿宋_GB2312" w:cs="仿宋_GB2312" w:eastAsia="仿宋_GB2312"/>
              </w:rPr>
              <w:t>组织专业队伍对各县(市、区)报送的年度变更调查成果进行全面检查,</w:t>
            </w:r>
            <w:r>
              <w:rPr>
                <w:rFonts w:ascii="仿宋_GB2312" w:hAnsi="仿宋_GB2312" w:cs="仿宋_GB2312" w:eastAsia="仿宋_GB2312"/>
              </w:rPr>
              <w:t>对市级、省级</w:t>
            </w:r>
            <w:r>
              <w:rPr>
                <w:rFonts w:ascii="仿宋_GB2312" w:hAnsi="仿宋_GB2312" w:cs="仿宋_GB2312" w:eastAsia="仿宋_GB2312"/>
              </w:rPr>
              <w:t>发现问题要及时组织补充完善,确保调查成果的质量,并于2025年1月15日前将通过市级全面检查合格的县级调查成果报</w:t>
            </w:r>
            <w:r>
              <w:rPr>
                <w:rFonts w:ascii="仿宋_GB2312" w:hAnsi="仿宋_GB2312" w:cs="仿宋_GB2312" w:eastAsia="仿宋_GB2312"/>
              </w:rPr>
              <w:t>部</w:t>
            </w:r>
            <w:r>
              <w:rPr>
                <w:rFonts w:ascii="仿宋_GB2312" w:hAnsi="仿宋_GB2312" w:cs="仿宋_GB2312" w:eastAsia="仿宋_GB2312"/>
              </w:rPr>
              <w:t>。</w:t>
            </w:r>
          </w:p>
          <w:p>
            <w:pPr>
              <w:pStyle w:val="null3"/>
              <w:ind w:left="210" w:firstLine="384"/>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)配合完成国家级核查整改。省厅组织相关市、县,对国家级核查中发现的问题图斑进行核实整改,整改结果经省厅核查通过后按要求报部。</w:t>
            </w:r>
          </w:p>
          <w:p>
            <w:pPr>
              <w:pStyle w:val="null3"/>
              <w:ind w:firstLine="512"/>
              <w:jc w:val="both"/>
            </w:pPr>
            <w:r>
              <w:rPr>
                <w:rFonts w:ascii="仿宋_GB2312" w:hAnsi="仿宋_GB2312" w:cs="仿宋_GB2312" w:eastAsia="仿宋_GB2312"/>
              </w:rPr>
              <w:t>(4)耕地资源分区分类评价更新。自2024年起,“耕地资源质量分类”调整为“耕地资源分区分类评价”,工作内容与指标体系仍按《第三次全国国土调查耕地资源质量分类工作方案》(国土调查办发〔2020〕13号)执行,在上年度耕地资源质量分类成果及本年度国土变更调查成果基础上,结合年度土地综合整治、高标准农田建设等项目竣工验收资料,省厅组织开展耕地资源分区分类评价更新,开展省级数据质量检查、更新入库与汇总分析等工作,全面掌握年度内耕地资源分区分类变化情况。</w:t>
            </w:r>
          </w:p>
          <w:p>
            <w:pPr>
              <w:pStyle w:val="null3"/>
              <w:ind w:firstLine="384"/>
              <w:jc w:val="both"/>
            </w:pPr>
            <w:r>
              <w:rPr>
                <w:rFonts w:ascii="仿宋_GB2312" w:hAnsi="仿宋_GB2312" w:cs="仿宋_GB2312" w:eastAsia="仿宋_GB2312"/>
              </w:rPr>
              <w:t>（三）项目地点：采购人指定地点</w:t>
            </w:r>
          </w:p>
          <w:p>
            <w:pPr>
              <w:pStyle w:val="null3"/>
              <w:ind w:firstLine="378"/>
              <w:jc w:val="both"/>
            </w:pPr>
            <w:r>
              <w:rPr>
                <w:rFonts w:ascii="仿宋_GB2312" w:hAnsi="仿宋_GB2312" w:cs="仿宋_GB2312" w:eastAsia="仿宋_GB2312"/>
              </w:rPr>
              <w:t>（四）服务期：6个月</w:t>
            </w:r>
          </w:p>
          <w:p>
            <w:pPr>
              <w:pStyle w:val="null3"/>
              <w:spacing w:before="60"/>
              <w:jc w:val="both"/>
            </w:pPr>
            <w:r>
              <w:rPr>
                <w:rFonts w:ascii="仿宋_GB2312" w:hAnsi="仿宋_GB2312" w:cs="仿宋_GB2312" w:eastAsia="仿宋_GB2312"/>
                <w:b/>
              </w:rPr>
              <w:t>二、工作依据</w:t>
            </w:r>
          </w:p>
          <w:p>
            <w:pPr>
              <w:pStyle w:val="null3"/>
              <w:ind w:left="210" w:firstLine="384"/>
              <w:jc w:val="both"/>
            </w:pPr>
            <w:r>
              <w:rPr>
                <w:rFonts w:ascii="仿宋_GB2312" w:hAnsi="仿宋_GB2312" w:cs="仿宋_GB2312" w:eastAsia="仿宋_GB2312"/>
              </w:rPr>
              <w:t>1）《中华人民共和国土地管理法》</w:t>
            </w:r>
          </w:p>
          <w:p>
            <w:pPr>
              <w:pStyle w:val="null3"/>
              <w:ind w:left="210" w:firstLine="384"/>
              <w:jc w:val="both"/>
            </w:pPr>
            <w:r>
              <w:rPr>
                <w:rFonts w:ascii="仿宋_GB2312" w:hAnsi="仿宋_GB2312" w:cs="仿宋_GB2312" w:eastAsia="仿宋_GB2312"/>
              </w:rPr>
              <w:t>2）《土地调查条例》</w:t>
            </w:r>
          </w:p>
          <w:p>
            <w:pPr>
              <w:pStyle w:val="null3"/>
              <w:ind w:left="210" w:firstLine="384"/>
              <w:jc w:val="both"/>
            </w:pPr>
            <w:r>
              <w:rPr>
                <w:rFonts w:ascii="仿宋_GB2312" w:hAnsi="仿宋_GB2312" w:cs="仿宋_GB2312" w:eastAsia="仿宋_GB2312"/>
              </w:rPr>
              <w:t>3）《土地调查条例实施办法》</w:t>
            </w:r>
          </w:p>
          <w:p>
            <w:pPr>
              <w:pStyle w:val="null3"/>
              <w:ind w:left="210" w:firstLine="384"/>
              <w:jc w:val="both"/>
            </w:pPr>
            <w:r>
              <w:rPr>
                <w:rFonts w:ascii="仿宋_GB2312" w:hAnsi="仿宋_GB2312" w:cs="仿宋_GB2312" w:eastAsia="仿宋_GB2312"/>
              </w:rPr>
              <w:t>4）《第三次全国国土调查技术规程》（TD/T 1055-2019）</w:t>
            </w:r>
          </w:p>
          <w:p>
            <w:pPr>
              <w:pStyle w:val="null3"/>
              <w:ind w:left="210" w:firstLine="384"/>
              <w:jc w:val="both"/>
            </w:pPr>
            <w:r>
              <w:rPr>
                <w:rFonts w:ascii="仿宋_GB2312" w:hAnsi="仿宋_GB2312" w:cs="仿宋_GB2312" w:eastAsia="仿宋_GB2312"/>
              </w:rPr>
              <w:t>5）《国土变更调查技术规程》</w:t>
            </w:r>
          </w:p>
          <w:p>
            <w:pPr>
              <w:pStyle w:val="null3"/>
              <w:spacing w:before="60"/>
              <w:jc w:val="both"/>
            </w:pPr>
            <w:r>
              <w:rPr>
                <w:rFonts w:ascii="仿宋_GB2312" w:hAnsi="仿宋_GB2312" w:cs="仿宋_GB2312" w:eastAsia="仿宋_GB2312"/>
                <w:b/>
              </w:rPr>
              <w:t>三、工作成果及交付</w:t>
            </w:r>
          </w:p>
          <w:p>
            <w:pPr>
              <w:pStyle w:val="null3"/>
              <w:ind w:firstLine="384"/>
              <w:jc w:val="both"/>
            </w:pPr>
            <w:r>
              <w:rPr>
                <w:rFonts w:ascii="仿宋_GB2312" w:hAnsi="仿宋_GB2312" w:cs="仿宋_GB2312" w:eastAsia="仿宋_GB2312"/>
              </w:rPr>
              <w:t>1、工作成果要符合国家及行业有关规范及标准编写。</w:t>
            </w:r>
          </w:p>
          <w:p>
            <w:pPr>
              <w:pStyle w:val="null3"/>
              <w:ind w:firstLine="384"/>
              <w:jc w:val="both"/>
            </w:pPr>
            <w:r>
              <w:rPr>
                <w:rFonts w:ascii="仿宋_GB2312" w:hAnsi="仿宋_GB2312" w:cs="仿宋_GB2312" w:eastAsia="仿宋_GB2312"/>
              </w:rPr>
              <w:t>2、在规定时间内，工作成果由成交供应商提交采购人，并配合采购人完成政府相关部门备案，并取得批复文件。</w:t>
            </w:r>
          </w:p>
          <w:p>
            <w:pPr>
              <w:pStyle w:val="null3"/>
              <w:spacing w:before="60"/>
              <w:jc w:val="both"/>
            </w:pPr>
            <w:r>
              <w:rPr>
                <w:rFonts w:ascii="仿宋_GB2312" w:hAnsi="仿宋_GB2312" w:cs="仿宋_GB2312" w:eastAsia="仿宋_GB2312"/>
                <w:b/>
              </w:rPr>
              <w:t>四、其他</w:t>
            </w:r>
          </w:p>
          <w:p>
            <w:pPr>
              <w:pStyle w:val="null3"/>
              <w:jc w:val="both"/>
            </w:pPr>
            <w:r>
              <w:rPr>
                <w:rFonts w:ascii="仿宋_GB2312" w:hAnsi="仿宋_GB2312" w:cs="仿宋_GB2312" w:eastAsia="仿宋_GB2312"/>
              </w:rPr>
              <w:t xml:space="preserve">  要求具有完善的技术支持服务措施，高水平的专业人员以及高效的工作作风，并承诺能紧密配合采购人的工作需求。</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合同签订后,资料收集完成后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完成所有服务内容，经省厅及国家级核查通过后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1、投标人所提供的项目成果必须经采购人审核验收，符合采购人要求，并达到技术指标先进、质量可靠、配置合理，满足招标文件要求。 2、服务的质量必须符合国家标准和有关规范，确保服务质量达到最佳使用要求。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法定代表人或负责人参与投标时需提供法定代表人或负责人资格证明书（附法定代表人或负责人身份证复印件）;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被授权人参与投标时需提供法定代表人或负责人授权委托书（附法定代表人或负责人及被授权人身份证复印件）；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投标人须具备主管部门颁发的测绘乙级（含乙级）及以上资质；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投标保证金交纳凭证或担保函；（保证金交纳凭证复印件或担保函复印件加盖公章）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的投标人；（提供书面承诺函，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单位负责人为同一人或者存在直接控股、管理关系的不同投标人，不得参加同一合同项下的政府采购活动；（提供书面承诺函，格式自拟加盖投标人公章）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本项目不接受联合体投标。（提供书面承诺函，格式自拟加盖投标人公章）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投标文件的计量单位、报价货币及签字盖章</w:t>
            </w:r>
          </w:p>
        </w:tc>
        <w:tc>
          <w:tcPr>
            <w:tcW w:type="dxa" w:w="3322"/>
          </w:tcPr>
          <w:p>
            <w:pPr>
              <w:pStyle w:val="null3"/>
            </w:pPr>
            <w:r>
              <w:rPr>
                <w:rFonts w:ascii="仿宋_GB2312" w:hAnsi="仿宋_GB2312" w:cs="仿宋_GB2312" w:eastAsia="仿宋_GB2312"/>
              </w:rPr>
              <w:t>投标文件的计量单位、报价货币及签字盖章符合招标文件的要求。</w:t>
            </w:r>
          </w:p>
        </w:tc>
        <w:tc>
          <w:tcPr>
            <w:tcW w:type="dxa" w:w="1661"/>
          </w:tcPr>
          <w:p>
            <w:pPr>
              <w:pStyle w:val="null3"/>
            </w:pPr>
            <w:r>
              <w:rPr>
                <w:rFonts w:ascii="仿宋_GB2312" w:hAnsi="仿宋_GB2312" w:cs="仿宋_GB2312" w:eastAsia="仿宋_GB2312"/>
              </w:rPr>
              <w:t>分项报价表.docx 投标函 标的清单 承诺书.docx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法律、法规和招标文件中规定的其他实质性要求</w:t>
            </w:r>
          </w:p>
        </w:tc>
        <w:tc>
          <w:tcPr>
            <w:tcW w:type="dxa" w:w="1661"/>
          </w:tcPr>
          <w:p>
            <w:pPr>
              <w:pStyle w:val="null3"/>
            </w:pPr>
            <w:r>
              <w:rPr>
                <w:rFonts w:ascii="仿宋_GB2312" w:hAnsi="仿宋_GB2312" w:cs="仿宋_GB2312" w:eastAsia="仿宋_GB2312"/>
              </w:rPr>
              <w:t>分项报价表.docx 商务条款响应偏离表.docx 服务条款响应偏离表.docx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整体构思及实施方案</w:t>
            </w:r>
          </w:p>
        </w:tc>
        <w:tc>
          <w:tcPr>
            <w:tcW w:type="dxa" w:w="2492"/>
          </w:tcPr>
          <w:p>
            <w:pPr>
              <w:pStyle w:val="null3"/>
            </w:pPr>
            <w:r>
              <w:rPr>
                <w:rFonts w:ascii="仿宋_GB2312" w:hAnsi="仿宋_GB2312" w:cs="仿宋_GB2312" w:eastAsia="仿宋_GB2312"/>
              </w:rPr>
              <w:t>根据本项目实际情况及要求制定切实可行的整体构思及实施方案：实施方案全面、科学合理、规范，可操作性强，计12分； 实施方案较合理、较规范，具有一定操作性，计9分； 服务方案简略，操作性欠佳，计6分； 实施方案缺失，操作性差，计3分； 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供应商认为有必要说明的事宜.docx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重难点分析及技术建议</w:t>
            </w:r>
          </w:p>
        </w:tc>
        <w:tc>
          <w:tcPr>
            <w:tcW w:type="dxa" w:w="2492"/>
          </w:tcPr>
          <w:p>
            <w:pPr>
              <w:pStyle w:val="null3"/>
            </w:pPr>
            <w:r>
              <w:rPr>
                <w:rFonts w:ascii="仿宋_GB2312" w:hAnsi="仿宋_GB2312" w:cs="仿宋_GB2312" w:eastAsia="仿宋_GB2312"/>
              </w:rPr>
              <w:t>根据本项目实际情况及项目需求、重点、难点等进行分析并提供技术建议。 对项目需求、重点、难点的分析透彻合理科学，能提供有效的技术建议，计12分； 对项目需求、重点、难点的分析较合理科学，较能提供有效的技术建议，计9分； 对项目需求、重点、难点的分析粗略简单，提供的技术建议基本可行，计6分； 对项目需求、重点、难点分析理解不透彻，不能提供有效建议的计3分。 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服务进度计划保证措施</w:t>
            </w:r>
          </w:p>
        </w:tc>
        <w:tc>
          <w:tcPr>
            <w:tcW w:type="dxa" w:w="2492"/>
          </w:tcPr>
          <w:p>
            <w:pPr>
              <w:pStyle w:val="null3"/>
            </w:pPr>
            <w:r>
              <w:rPr>
                <w:rFonts w:ascii="仿宋_GB2312" w:hAnsi="仿宋_GB2312" w:cs="仿宋_GB2312" w:eastAsia="仿宋_GB2312"/>
              </w:rPr>
              <w:t>根据本项目实际情况及要求制定切实可行的服务进度计划保证措施：进度计划节点清晰，保证措施科学合理，可靠性强，计12分； 进度计划节点较清晰，保证措施较科学合理，可靠性较强，计9分； 进度计划节点不清晰，保证措施简略，可靠性一般，计6分； 进度计划缺失，保证措施空泛，可靠性差，计3分； 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确保服务质量的保证措施</w:t>
            </w:r>
          </w:p>
        </w:tc>
        <w:tc>
          <w:tcPr>
            <w:tcW w:type="dxa" w:w="2492"/>
          </w:tcPr>
          <w:p>
            <w:pPr>
              <w:pStyle w:val="null3"/>
            </w:pPr>
            <w:r>
              <w:rPr>
                <w:rFonts w:ascii="仿宋_GB2312" w:hAnsi="仿宋_GB2312" w:cs="仿宋_GB2312" w:eastAsia="仿宋_GB2312"/>
              </w:rPr>
              <w:t>根据本项目实际情况及要求制定确保服务质量的保证措施： 措施科学合理、贴合项目实际情况、细节明确、针对性强，计12分；措施较科学合理、细节较明确、针对性较强，计9分； 措施一般、各环节配合一般、针对性一般，计6分； 措施简单、针对性差，计3分； 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资料档案管理制度及保障措施</w:t>
            </w:r>
          </w:p>
        </w:tc>
        <w:tc>
          <w:tcPr>
            <w:tcW w:type="dxa" w:w="2492"/>
          </w:tcPr>
          <w:p>
            <w:pPr>
              <w:pStyle w:val="null3"/>
            </w:pPr>
            <w:r>
              <w:rPr>
                <w:rFonts w:ascii="仿宋_GB2312" w:hAnsi="仿宋_GB2312" w:cs="仿宋_GB2312" w:eastAsia="仿宋_GB2312"/>
              </w:rPr>
              <w:t>根据本项目实际情况及要求制定服务对象资料档案管理制度及保障措施： 资料管理制度完善，保障措施详细，责任清晰，计12分； 资料管理制度较完善，保障措施较详细，责任较清晰，计9分； 资料管理制度粗略，保障措施简单，责任不清晰，计6分； 资料管理制度缺失，保障措施空泛，责任不清晰，可靠性差，计3分；未提供不计分。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拟派本项目的组织管理团队健全,分工明确，岗位责任制强，项目负责人管理经验丰富能力高，能全面高效地完成本项目，根据人员设置及分工、分配的响应程度。 拟派项目管理团队健全,分工明确，岗位责任制强，项目负责人管理经验丰富能力高，能够充分满足本项目需求的得10分； 团队组建较完整，管理较合理，具备职责分工，有一定的服务经验，能够基本符合本项目需求的得7分； 团队组建一般，管理及分工仅进行相关描述，仅具有经验，但不足以证明能够胜任本项目的得4分； 团队组建不够合理，管理欠缺，未进行明确分工，无相关经验得2分；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拟派项目组人员.docx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针对本项目提供切实可行的售后服务方案： 方案全面、合理、有可实施性计6分； 方案较为全面、合理、可实施性一般计4分； 承诺内容简单粗略的计2分；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针对本项目有实质性的，评委认为有利于提高项目管理水平或降低项目实施成本的合理化建议： 内容合理、全面的计4分； 内容较为合理的计3分； 内容简单粗略的计2分；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以合同复印件形式提供2022年1月1日至今类似项目业绩，每份计1分，计满5分为止； 注：投标人需提供服务合同（含首页、服务内容、签字盖章页）复印件，否则业绩不予认可。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详见附件：拟派项目组人员.docx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