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7EA1A">
      <w:pPr>
        <w:pStyle w:val="3"/>
        <w:numPr>
          <w:ilvl w:val="0"/>
          <w:numId w:val="0"/>
        </w:numPr>
        <w:spacing w:line="480" w:lineRule="exact"/>
        <w:jc w:val="center"/>
        <w:rPr>
          <w:rFonts w:hint="eastAsia"/>
          <w:highlight w:val="none"/>
          <w:lang w:eastAsia="zh-CN"/>
        </w:rPr>
      </w:pPr>
      <w:r>
        <w:rPr>
          <w:rFonts w:hint="eastAsia" w:ascii="仿宋" w:hAnsi="仿宋" w:eastAsia="仿宋" w:cs="仿宋"/>
          <w:highlight w:val="none"/>
        </w:rPr>
        <w:t>合同条款</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仅供参考</w:t>
      </w:r>
      <w:r>
        <w:rPr>
          <w:rFonts w:hint="eastAsia" w:ascii="仿宋" w:hAnsi="仿宋" w:eastAsia="仿宋" w:cs="仿宋"/>
          <w:sz w:val="32"/>
          <w:szCs w:val="32"/>
          <w:highlight w:val="none"/>
          <w:lang w:eastAsia="zh-CN"/>
        </w:rPr>
        <w:t>）</w:t>
      </w:r>
    </w:p>
    <w:p w14:paraId="1CB76032">
      <w:pPr>
        <w:keepNext w:val="0"/>
        <w:keepLines w:val="0"/>
        <w:pageBreakBefore w:val="0"/>
        <w:kinsoku/>
        <w:wordWrap/>
        <w:overflowPunct/>
        <w:topLinePunct w:val="0"/>
        <w:bidi w:val="0"/>
        <w:spacing w:line="640" w:lineRule="exact"/>
        <w:textAlignment w:val="auto"/>
        <w:rPr>
          <w:rFonts w:hint="eastAsia" w:ascii="仿宋" w:hAnsi="仿宋" w:eastAsia="仿宋" w:cs="仿宋"/>
          <w:szCs w:val="24"/>
          <w:highlight w:val="none"/>
        </w:rPr>
      </w:pPr>
      <w:r>
        <w:rPr>
          <w:rFonts w:hint="eastAsia" w:ascii="仿宋" w:hAnsi="仿宋" w:eastAsia="仿宋" w:cs="仿宋"/>
          <w:szCs w:val="24"/>
          <w:highlight w:val="none"/>
        </w:rPr>
        <w:t>一、合同格式</w:t>
      </w:r>
    </w:p>
    <w:p w14:paraId="7E7CD163">
      <w:pPr>
        <w:keepNext w:val="0"/>
        <w:keepLines w:val="0"/>
        <w:pageBreakBefore w:val="0"/>
        <w:widowControl/>
        <w:kinsoku/>
        <w:wordWrap/>
        <w:overflowPunct/>
        <w:topLinePunct w:val="0"/>
        <w:bidi w:val="0"/>
        <w:spacing w:line="640" w:lineRule="exact"/>
        <w:ind w:right="-197" w:rightChars="-94" w:firstLine="210" w:firstLineChars="100"/>
        <w:jc w:val="left"/>
        <w:textAlignment w:val="auto"/>
        <w:rPr>
          <w:rFonts w:hint="eastAsia" w:ascii="仿宋" w:hAnsi="仿宋" w:eastAsia="仿宋" w:cs="仿宋"/>
          <w:kern w:val="0"/>
          <w:szCs w:val="24"/>
          <w:highlight w:val="none"/>
        </w:rPr>
      </w:pPr>
      <w:r>
        <w:rPr>
          <w:rFonts w:hint="eastAsia" w:ascii="仿宋" w:hAnsi="仿宋" w:eastAsia="仿宋" w:cs="仿宋"/>
          <w:color w:val="auto"/>
          <w:szCs w:val="24"/>
          <w:highlight w:val="none"/>
          <w:u w:val="single" w:color="auto"/>
          <w:lang w:val="en-US" w:eastAsia="zh-CN"/>
        </w:rPr>
        <w:t xml:space="preserve">                           </w:t>
      </w:r>
      <w:r>
        <w:rPr>
          <w:rFonts w:hint="eastAsia" w:ascii="仿宋" w:hAnsi="仿宋" w:eastAsia="仿宋" w:cs="仿宋"/>
          <w:color w:val="auto"/>
          <w:szCs w:val="24"/>
          <w:highlight w:val="none"/>
          <w:u w:val="none" w:color="auto"/>
          <w:lang w:eastAsia="zh-CN"/>
        </w:rPr>
        <w:t>项目(文件编号：</w:t>
      </w:r>
      <w:r>
        <w:rPr>
          <w:rFonts w:hint="eastAsia" w:ascii="仿宋" w:hAnsi="仿宋" w:eastAsia="仿宋" w:cs="仿宋"/>
          <w:color w:val="auto"/>
          <w:szCs w:val="24"/>
          <w:highlight w:val="none"/>
          <w:u w:val="single" w:color="auto"/>
          <w:lang w:val="en-US" w:eastAsia="zh-CN"/>
        </w:rPr>
        <w:t xml:space="preserve">             </w:t>
      </w:r>
      <w:r>
        <w:rPr>
          <w:rFonts w:hint="eastAsia" w:ascii="仿宋" w:hAnsi="仿宋" w:eastAsia="仿宋" w:cs="仿宋"/>
          <w:color w:val="auto"/>
          <w:szCs w:val="24"/>
          <w:highlight w:val="none"/>
          <w:u w:val="none" w:color="auto"/>
          <w:lang w:eastAsia="zh-CN"/>
        </w:rPr>
        <w:t>)</w:t>
      </w:r>
      <w:r>
        <w:rPr>
          <w:rFonts w:hint="eastAsia" w:ascii="仿宋" w:hAnsi="仿宋" w:eastAsia="仿宋" w:cs="仿宋"/>
          <w:szCs w:val="24"/>
          <w:highlight w:val="none"/>
          <w:u w:val="none" w:color="auto"/>
        </w:rPr>
        <w:t>，在</w:t>
      </w:r>
      <w:r>
        <w:rPr>
          <w:rFonts w:hint="eastAsia" w:ascii="仿宋" w:hAnsi="仿宋" w:eastAsia="仿宋" w:cs="仿宋"/>
          <w:color w:val="auto"/>
          <w:szCs w:val="24"/>
          <w:highlight w:val="none"/>
          <w:u w:val="none" w:color="auto"/>
          <w:lang w:eastAsia="zh-CN"/>
        </w:rPr>
        <w:t>渭南市华州区财政局</w:t>
      </w:r>
      <w:r>
        <w:rPr>
          <w:rFonts w:hint="eastAsia" w:ascii="仿宋" w:hAnsi="仿宋" w:eastAsia="仿宋" w:cs="仿宋"/>
          <w:szCs w:val="24"/>
          <w:highlight w:val="none"/>
          <w:u w:val="none" w:color="auto"/>
        </w:rPr>
        <w:t>的监督管理下</w:t>
      </w:r>
      <w:r>
        <w:rPr>
          <w:rFonts w:hint="eastAsia" w:ascii="仿宋" w:hAnsi="仿宋" w:eastAsia="仿宋" w:cs="仿宋"/>
          <w:kern w:val="0"/>
          <w:szCs w:val="24"/>
          <w:highlight w:val="none"/>
          <w:u w:val="none" w:color="auto"/>
        </w:rPr>
        <w:t>，由</w:t>
      </w:r>
      <w:r>
        <w:rPr>
          <w:rFonts w:hint="eastAsia" w:ascii="仿宋" w:hAnsi="仿宋" w:eastAsia="仿宋" w:cs="仿宋"/>
          <w:kern w:val="0"/>
          <w:szCs w:val="24"/>
          <w:highlight w:val="none"/>
          <w:u w:val="none" w:color="auto"/>
          <w:lang w:eastAsia="zh-CN"/>
        </w:rPr>
        <w:t>华招广和项目管理有限公司</w:t>
      </w:r>
      <w:r>
        <w:rPr>
          <w:rFonts w:hint="eastAsia" w:ascii="仿宋" w:hAnsi="仿宋" w:eastAsia="仿宋" w:cs="仿宋"/>
          <w:kern w:val="0"/>
          <w:szCs w:val="24"/>
          <w:highlight w:val="none"/>
          <w:u w:val="none" w:color="auto"/>
        </w:rPr>
        <w:t>组织公开招标。</w:t>
      </w:r>
      <w:r>
        <w:rPr>
          <w:rFonts w:hint="eastAsia" w:ascii="仿宋" w:hAnsi="仿宋" w:eastAsia="仿宋" w:cs="仿宋"/>
          <w:color w:val="auto"/>
          <w:szCs w:val="24"/>
          <w:highlight w:val="none"/>
          <w:u w:val="single" w:color="auto"/>
          <w:lang w:val="en-US" w:eastAsia="zh-CN"/>
        </w:rPr>
        <w:t xml:space="preserve">            </w:t>
      </w:r>
      <w:r>
        <w:rPr>
          <w:rFonts w:hint="eastAsia" w:ascii="仿宋" w:hAnsi="仿宋" w:eastAsia="仿宋" w:cs="仿宋"/>
          <w:kern w:val="0"/>
          <w:szCs w:val="24"/>
          <w:highlight w:val="none"/>
          <w:u w:val="none" w:color="auto"/>
        </w:rPr>
        <w:t>(以下简称</w:t>
      </w:r>
      <w:r>
        <w:rPr>
          <w:rFonts w:hint="eastAsia" w:ascii="仿宋" w:hAnsi="仿宋" w:eastAsia="仿宋" w:cs="仿宋"/>
          <w:kern w:val="0"/>
          <w:szCs w:val="24"/>
          <w:highlight w:val="none"/>
        </w:rPr>
        <w:t>“甲方”)确定 (中标单位名称) （以下简称“乙方”）为中标单位。</w:t>
      </w:r>
    </w:p>
    <w:p w14:paraId="57D18934">
      <w:pPr>
        <w:keepNext w:val="0"/>
        <w:keepLines w:val="0"/>
        <w:pageBreakBefore w:val="0"/>
        <w:kinsoku/>
        <w:wordWrap/>
        <w:overflowPunct/>
        <w:topLinePunct w:val="0"/>
        <w:bidi w:val="0"/>
        <w:spacing w:line="640" w:lineRule="exact"/>
        <w:ind w:right="210" w:rightChars="100" w:firstLine="420" w:firstLineChars="200"/>
        <w:textAlignment w:val="auto"/>
        <w:rPr>
          <w:rFonts w:hint="eastAsia" w:ascii="仿宋" w:hAnsi="仿宋" w:eastAsia="仿宋" w:cs="仿宋"/>
          <w:kern w:val="0"/>
          <w:szCs w:val="24"/>
          <w:highlight w:val="none"/>
        </w:rPr>
      </w:pPr>
      <w:r>
        <w:rPr>
          <w:rFonts w:hint="eastAsia" w:ascii="仿宋" w:hAnsi="仿宋" w:eastAsia="仿宋" w:cs="仿宋"/>
          <w:kern w:val="0"/>
          <w:szCs w:val="24"/>
          <w:highlight w:val="none"/>
        </w:rPr>
        <w:t>依据《中华人民共和国</w:t>
      </w:r>
      <w:r>
        <w:rPr>
          <w:rFonts w:hint="eastAsia" w:ascii="仿宋" w:hAnsi="仿宋" w:eastAsia="仿宋" w:cs="仿宋"/>
          <w:kern w:val="0"/>
          <w:szCs w:val="24"/>
          <w:highlight w:val="none"/>
          <w:lang w:val="en-US" w:eastAsia="zh-CN"/>
        </w:rPr>
        <w:t>民法典</w:t>
      </w:r>
      <w:r>
        <w:rPr>
          <w:rFonts w:hint="eastAsia" w:ascii="仿宋" w:hAnsi="仿宋" w:eastAsia="仿宋" w:cs="仿宋"/>
          <w:kern w:val="0"/>
          <w:szCs w:val="24"/>
          <w:highlight w:val="none"/>
        </w:rPr>
        <w:t>》</w:t>
      </w:r>
      <w:r>
        <w:rPr>
          <w:rFonts w:hint="eastAsia" w:ascii="仿宋" w:hAnsi="仿宋" w:eastAsia="仿宋" w:cs="仿宋"/>
          <w:kern w:val="0"/>
          <w:szCs w:val="24"/>
          <w:highlight w:val="none"/>
          <w:lang w:eastAsia="zh-CN"/>
        </w:rPr>
        <w:t>、</w:t>
      </w:r>
      <w:r>
        <w:rPr>
          <w:rFonts w:hint="eastAsia" w:ascii="仿宋" w:hAnsi="仿宋" w:eastAsia="仿宋" w:cs="仿宋"/>
          <w:kern w:val="0"/>
          <w:szCs w:val="24"/>
          <w:highlight w:val="none"/>
        </w:rPr>
        <w:t>《中华人民共和国政府采购法》《中华人民共和国政府采购法实施条例》，甲方通过公开招标采购</w:t>
      </w:r>
      <w:r>
        <w:rPr>
          <w:rFonts w:hint="eastAsia" w:ascii="仿宋" w:hAnsi="仿宋" w:eastAsia="仿宋" w:cs="仿宋"/>
          <w:kern w:val="0"/>
          <w:szCs w:val="24"/>
          <w:highlight w:val="none"/>
          <w:u w:val="single"/>
        </w:rPr>
        <w:t xml:space="preserve">（服务名称） </w:t>
      </w:r>
      <w:r>
        <w:rPr>
          <w:rFonts w:hint="eastAsia" w:ascii="仿宋" w:hAnsi="仿宋" w:eastAsia="仿宋" w:cs="仿宋"/>
          <w:kern w:val="0"/>
          <w:szCs w:val="24"/>
          <w:highlight w:val="none"/>
        </w:rPr>
        <w:t>，并接受了乙方以价格</w:t>
      </w:r>
      <w:r>
        <w:rPr>
          <w:rFonts w:hint="eastAsia" w:ascii="仿宋" w:hAnsi="仿宋" w:eastAsia="仿宋" w:cs="仿宋"/>
          <w:kern w:val="0"/>
          <w:szCs w:val="24"/>
          <w:highlight w:val="none"/>
          <w:u w:val="single"/>
        </w:rPr>
        <w:t>(中标金额大写)</w:t>
      </w:r>
      <w:r>
        <w:rPr>
          <w:rFonts w:hint="eastAsia" w:ascii="仿宋" w:hAnsi="仿宋" w:eastAsia="仿宋" w:cs="仿宋"/>
          <w:kern w:val="0"/>
          <w:szCs w:val="24"/>
          <w:highlight w:val="none"/>
        </w:rPr>
        <w:t>(以下简称“合同价”)提供的产品及服务。</w:t>
      </w:r>
    </w:p>
    <w:p w14:paraId="53E851EB">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bookmarkStart w:id="0" w:name="_Toc193126879"/>
      <w:bookmarkStart w:id="1" w:name="_Toc188808831"/>
      <w:bookmarkStart w:id="2" w:name="_Toc193187095"/>
      <w:bookmarkStart w:id="3" w:name="_Toc194663916"/>
      <w:r>
        <w:rPr>
          <w:rFonts w:hint="eastAsia" w:ascii="仿宋" w:hAnsi="仿宋" w:eastAsia="仿宋" w:cs="仿宋"/>
          <w:szCs w:val="24"/>
          <w:highlight w:val="none"/>
        </w:rPr>
        <w:t>本合同在此声明如下：</w:t>
      </w:r>
    </w:p>
    <w:p w14:paraId="0A315542">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rPr>
        <w:t>1、本合同中的词语和术语的含义与合同条款中定义的相同。</w:t>
      </w:r>
    </w:p>
    <w:p w14:paraId="0536F1E2">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rPr>
        <w:t>2、下述文件是本合同的一部分，并与本合同一起阅读和解释：</w:t>
      </w:r>
    </w:p>
    <w:p w14:paraId="6EB3494D">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lang w:val="en-US" w:eastAsia="zh-CN"/>
        </w:rPr>
        <w:t>2.1</w:t>
      </w:r>
      <w:r>
        <w:rPr>
          <w:rFonts w:hint="eastAsia" w:ascii="仿宋" w:hAnsi="仿宋" w:eastAsia="仿宋" w:cs="仿宋"/>
          <w:szCs w:val="24"/>
          <w:highlight w:val="none"/>
        </w:rPr>
        <w:t>合同条款</w:t>
      </w:r>
    </w:p>
    <w:p w14:paraId="7C2E094F">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lang w:val="en-US" w:eastAsia="zh-CN"/>
        </w:rPr>
        <w:t>2.2</w:t>
      </w:r>
      <w:r>
        <w:rPr>
          <w:rFonts w:hint="eastAsia" w:ascii="仿宋" w:hAnsi="仿宋" w:eastAsia="仿宋" w:cs="仿宋"/>
          <w:szCs w:val="24"/>
          <w:highlight w:val="none"/>
        </w:rPr>
        <w:t>合同条款附件</w:t>
      </w:r>
    </w:p>
    <w:p w14:paraId="75E61DF3">
      <w:pPr>
        <w:keepNext w:val="0"/>
        <w:keepLines w:val="0"/>
        <w:pageBreakBefore w:val="0"/>
        <w:kinsoku/>
        <w:wordWrap/>
        <w:overflowPunct/>
        <w:topLinePunct w:val="0"/>
        <w:bidi w:val="0"/>
        <w:spacing w:line="640" w:lineRule="exact"/>
        <w:ind w:firstLine="735" w:firstLineChars="350"/>
        <w:textAlignment w:val="auto"/>
        <w:rPr>
          <w:rFonts w:hint="eastAsia" w:ascii="仿宋" w:hAnsi="仿宋" w:eastAsia="仿宋" w:cs="仿宋"/>
          <w:szCs w:val="24"/>
          <w:highlight w:val="none"/>
          <w:lang w:val="en-US" w:eastAsia="zh-CN"/>
        </w:rPr>
      </w:pPr>
      <w:r>
        <w:rPr>
          <w:rFonts w:hint="eastAsia" w:ascii="仿宋" w:hAnsi="仿宋" w:eastAsia="仿宋" w:cs="仿宋"/>
          <w:szCs w:val="24"/>
          <w:highlight w:val="none"/>
        </w:rPr>
        <w:t>附件1—</w:t>
      </w:r>
      <w:r>
        <w:rPr>
          <w:rFonts w:hint="eastAsia" w:ascii="仿宋" w:hAnsi="仿宋" w:eastAsia="仿宋" w:cs="仿宋"/>
          <w:szCs w:val="24"/>
          <w:highlight w:val="none"/>
          <w:lang w:val="en-US" w:eastAsia="zh-CN"/>
        </w:rPr>
        <w:t>服务方案</w:t>
      </w:r>
    </w:p>
    <w:p w14:paraId="764AFDA8">
      <w:pPr>
        <w:keepNext w:val="0"/>
        <w:keepLines w:val="0"/>
        <w:pageBreakBefore w:val="0"/>
        <w:kinsoku/>
        <w:wordWrap/>
        <w:overflowPunct/>
        <w:topLinePunct w:val="0"/>
        <w:bidi w:val="0"/>
        <w:spacing w:line="640" w:lineRule="exact"/>
        <w:ind w:firstLine="735" w:firstLineChars="350"/>
        <w:textAlignment w:val="auto"/>
        <w:rPr>
          <w:rFonts w:hint="eastAsia" w:ascii="仿宋" w:hAnsi="仿宋" w:eastAsia="仿宋" w:cs="仿宋"/>
          <w:szCs w:val="24"/>
          <w:highlight w:val="none"/>
        </w:rPr>
      </w:pPr>
      <w:r>
        <w:rPr>
          <w:rFonts w:hint="eastAsia" w:ascii="仿宋" w:hAnsi="仿宋" w:eastAsia="仿宋" w:cs="仿宋"/>
          <w:szCs w:val="24"/>
          <w:highlight w:val="none"/>
        </w:rPr>
        <w:t>附件2—</w:t>
      </w:r>
      <w:r>
        <w:rPr>
          <w:rFonts w:hint="eastAsia" w:ascii="仿宋" w:hAnsi="仿宋" w:eastAsia="仿宋" w:cs="仿宋"/>
          <w:szCs w:val="24"/>
          <w:highlight w:val="none"/>
          <w:lang w:val="en-US" w:eastAsia="zh-CN"/>
        </w:rPr>
        <w:t>服务</w:t>
      </w:r>
      <w:r>
        <w:rPr>
          <w:rFonts w:hint="eastAsia" w:ascii="仿宋" w:hAnsi="仿宋" w:eastAsia="仿宋" w:cs="仿宋"/>
          <w:szCs w:val="24"/>
          <w:highlight w:val="none"/>
        </w:rPr>
        <w:t>承诺</w:t>
      </w:r>
    </w:p>
    <w:p w14:paraId="07A13CC5">
      <w:pPr>
        <w:keepNext w:val="0"/>
        <w:keepLines w:val="0"/>
        <w:pageBreakBefore w:val="0"/>
        <w:kinsoku/>
        <w:wordWrap/>
        <w:overflowPunct/>
        <w:topLinePunct w:val="0"/>
        <w:bidi w:val="0"/>
        <w:spacing w:line="640" w:lineRule="exact"/>
        <w:ind w:firstLine="735" w:firstLineChars="350"/>
        <w:textAlignment w:val="auto"/>
        <w:rPr>
          <w:rFonts w:hint="eastAsia" w:ascii="仿宋" w:hAnsi="仿宋" w:eastAsia="仿宋" w:cs="仿宋"/>
          <w:szCs w:val="24"/>
          <w:highlight w:val="none"/>
          <w:lang w:val="en-US" w:eastAsia="zh-CN"/>
        </w:rPr>
      </w:pPr>
      <w:r>
        <w:rPr>
          <w:rFonts w:hint="eastAsia" w:ascii="仿宋" w:hAnsi="仿宋" w:eastAsia="仿宋" w:cs="仿宋"/>
          <w:szCs w:val="24"/>
          <w:highlight w:val="none"/>
        </w:rPr>
        <w:t>附件3—</w:t>
      </w:r>
      <w:r>
        <w:rPr>
          <w:rFonts w:hint="eastAsia" w:ascii="仿宋" w:hAnsi="仿宋" w:eastAsia="仿宋" w:cs="仿宋"/>
          <w:szCs w:val="24"/>
          <w:highlight w:val="none"/>
          <w:lang w:val="en-US" w:eastAsia="zh-CN"/>
        </w:rPr>
        <w:t>合理化建议</w:t>
      </w:r>
    </w:p>
    <w:p w14:paraId="252B3B10">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lang w:val="en-US" w:eastAsia="zh-CN"/>
        </w:rPr>
        <w:t>2.3</w:t>
      </w:r>
      <w:r>
        <w:rPr>
          <w:rFonts w:hint="eastAsia" w:ascii="仿宋" w:hAnsi="仿宋" w:eastAsia="仿宋" w:cs="仿宋"/>
          <w:szCs w:val="24"/>
          <w:highlight w:val="none"/>
        </w:rPr>
        <w:t>中标通知书</w:t>
      </w:r>
    </w:p>
    <w:p w14:paraId="0C4E7381">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lang w:val="en-US" w:eastAsia="zh-CN"/>
        </w:rPr>
        <w:t>2.4</w:t>
      </w:r>
      <w:r>
        <w:rPr>
          <w:rFonts w:hint="eastAsia" w:ascii="仿宋" w:hAnsi="仿宋" w:eastAsia="仿宋" w:cs="仿宋"/>
          <w:szCs w:val="24"/>
          <w:highlight w:val="none"/>
        </w:rPr>
        <w:t>招标文件</w:t>
      </w:r>
    </w:p>
    <w:p w14:paraId="02512929">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lang w:val="en-US" w:eastAsia="zh-CN"/>
        </w:rPr>
        <w:t>2.5</w:t>
      </w:r>
      <w:r>
        <w:rPr>
          <w:rFonts w:hint="eastAsia" w:ascii="仿宋" w:hAnsi="仿宋" w:eastAsia="仿宋" w:cs="仿宋"/>
          <w:szCs w:val="24"/>
          <w:highlight w:val="none"/>
        </w:rPr>
        <w:t>投标文件</w:t>
      </w:r>
    </w:p>
    <w:p w14:paraId="3D41469E">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rPr>
        <w:t>3、考虑到甲方将按照本合同向乙方支付货款，乙方在此保证全部按照合同的规定向甲方提供服务，并修补缺陷。</w:t>
      </w:r>
    </w:p>
    <w:p w14:paraId="58ED9E59">
      <w:pPr>
        <w:keepNext w:val="0"/>
        <w:keepLines w:val="0"/>
        <w:pageBreakBefore w:val="0"/>
        <w:kinsoku/>
        <w:wordWrap/>
        <w:overflowPunct/>
        <w:topLinePunct w:val="0"/>
        <w:bidi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rPr>
        <w:t>4、考虑到乙方提供的货物和服务并修补缺陷，甲方在此保证按照合同规定的时间和方式向乙方支付合同价或其他按合同规定应支付的金额。</w:t>
      </w:r>
    </w:p>
    <w:p w14:paraId="01C40A1D">
      <w:pPr>
        <w:keepNext w:val="0"/>
        <w:keepLines w:val="0"/>
        <w:pageBreakBefore w:val="0"/>
        <w:widowControl w:val="0"/>
        <w:kinsoku/>
        <w:wordWrap/>
        <w:overflowPunct/>
        <w:topLinePunct w:val="0"/>
        <w:autoSpaceDE/>
        <w:autoSpaceDN/>
        <w:bidi w:val="0"/>
        <w:adjustRightInd w:val="0"/>
        <w:snapToGrid/>
        <w:spacing w:line="640" w:lineRule="exact"/>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5、付款方式：</w:t>
      </w:r>
      <w:r>
        <w:rPr>
          <w:rFonts w:hint="eastAsia" w:ascii="仿宋" w:hAnsi="仿宋" w:eastAsia="仿宋" w:cs="仿宋"/>
          <w:color w:val="auto"/>
          <w:szCs w:val="24"/>
          <w:highlight w:val="none"/>
          <w:u w:val="single" w:color="auto"/>
          <w:lang w:val="en-US" w:eastAsia="zh-CN"/>
        </w:rPr>
        <w:t xml:space="preserve">                         。</w:t>
      </w:r>
      <w:bookmarkStart w:id="4" w:name="_GoBack"/>
      <w:bookmarkEnd w:id="4"/>
    </w:p>
    <w:p w14:paraId="6C1BEB63">
      <w:pPr>
        <w:keepNext w:val="0"/>
        <w:keepLines w:val="0"/>
        <w:pageBreakBefore w:val="0"/>
        <w:kinsoku/>
        <w:wordWrap/>
        <w:overflowPunct/>
        <w:topLinePunct w:val="0"/>
        <w:bidi w:val="0"/>
        <w:adjustRightInd w:val="0"/>
        <w:snapToGrid w:val="0"/>
        <w:spacing w:line="640" w:lineRule="exact"/>
        <w:ind w:firstLine="420" w:firstLineChars="200"/>
        <w:textAlignment w:val="auto"/>
        <w:rPr>
          <w:rFonts w:hint="eastAsia" w:ascii="仿宋" w:hAnsi="仿宋" w:eastAsia="仿宋" w:cs="仿宋"/>
          <w:color w:val="auto"/>
          <w:szCs w:val="24"/>
          <w:highlight w:val="none"/>
          <w:u w:val="none" w:color="auto"/>
        </w:rPr>
      </w:pPr>
      <w:r>
        <w:rPr>
          <w:rFonts w:hint="eastAsia" w:ascii="仿宋" w:hAnsi="仿宋" w:eastAsia="仿宋" w:cs="仿宋"/>
          <w:color w:val="auto"/>
          <w:szCs w:val="24"/>
          <w:highlight w:val="none"/>
        </w:rPr>
        <w:t>6、</w:t>
      </w:r>
      <w:r>
        <w:rPr>
          <w:rFonts w:hint="eastAsia" w:ascii="仿宋" w:hAnsi="仿宋" w:eastAsia="仿宋" w:cs="仿宋"/>
          <w:color w:val="auto"/>
          <w:szCs w:val="24"/>
          <w:highlight w:val="none"/>
          <w:u w:val="none" w:color="auto"/>
        </w:rPr>
        <w:t>服务期：</w:t>
      </w:r>
      <w:r>
        <w:rPr>
          <w:rFonts w:hint="eastAsia" w:ascii="仿宋" w:hAnsi="仿宋" w:eastAsia="仿宋" w:cs="仿宋"/>
          <w:color w:val="auto"/>
          <w:szCs w:val="24"/>
          <w:highlight w:val="none"/>
          <w:u w:val="single" w:color="auto"/>
          <w:lang w:val="en-US" w:eastAsia="zh-CN"/>
        </w:rPr>
        <w:t xml:space="preserve">                            </w:t>
      </w:r>
      <w:r>
        <w:rPr>
          <w:rFonts w:hint="eastAsia" w:ascii="仿宋" w:hAnsi="仿宋" w:eastAsia="仿宋" w:cs="仿宋"/>
          <w:color w:val="auto"/>
          <w:szCs w:val="24"/>
          <w:highlight w:val="none"/>
          <w:u w:val="none" w:color="auto"/>
        </w:rPr>
        <w:t>。</w:t>
      </w:r>
    </w:p>
    <w:p w14:paraId="16AFF18D">
      <w:pPr>
        <w:keepNext w:val="0"/>
        <w:keepLines w:val="0"/>
        <w:pageBreakBefore w:val="0"/>
        <w:kinsoku/>
        <w:wordWrap/>
        <w:overflowPunct/>
        <w:topLinePunct w:val="0"/>
        <w:bidi w:val="0"/>
        <w:adjustRightInd w:val="0"/>
        <w:snapToGrid w:val="0"/>
        <w:spacing w:line="640" w:lineRule="exact"/>
        <w:ind w:firstLine="420" w:firstLineChars="200"/>
        <w:textAlignment w:val="auto"/>
        <w:rPr>
          <w:rFonts w:hint="eastAsia" w:ascii="仿宋" w:hAnsi="仿宋" w:eastAsia="仿宋" w:cs="仿宋"/>
          <w:color w:val="auto"/>
          <w:szCs w:val="24"/>
          <w:highlight w:val="none"/>
          <w:u w:val="none" w:color="auto"/>
          <w:lang w:val="en-US" w:eastAsia="zh-CN"/>
        </w:rPr>
      </w:pPr>
      <w:r>
        <w:rPr>
          <w:rFonts w:hint="eastAsia" w:ascii="仿宋" w:hAnsi="仿宋" w:eastAsia="仿宋" w:cs="仿宋"/>
          <w:color w:val="auto"/>
          <w:szCs w:val="24"/>
          <w:highlight w:val="none"/>
          <w:u w:val="none" w:color="auto"/>
        </w:rPr>
        <w:t xml:space="preserve">   服务地点</w:t>
      </w:r>
      <w:r>
        <w:rPr>
          <w:rFonts w:hint="eastAsia" w:ascii="仿宋" w:hAnsi="仿宋" w:eastAsia="仿宋" w:cs="仿宋"/>
          <w:szCs w:val="24"/>
          <w:highlight w:val="none"/>
        </w:rPr>
        <w:t>：</w:t>
      </w:r>
      <w:r>
        <w:rPr>
          <w:rFonts w:hint="eastAsia" w:ascii="仿宋" w:hAnsi="仿宋" w:eastAsia="仿宋" w:cs="仿宋"/>
          <w:color w:val="auto"/>
          <w:szCs w:val="24"/>
          <w:highlight w:val="none"/>
          <w:u w:val="single" w:color="auto"/>
          <w:lang w:val="en-US" w:eastAsia="zh-CN"/>
        </w:rPr>
        <w:t xml:space="preserve">                            </w:t>
      </w:r>
      <w:r>
        <w:rPr>
          <w:rFonts w:hint="eastAsia" w:ascii="仿宋" w:hAnsi="仿宋" w:eastAsia="仿宋" w:cs="仿宋"/>
          <w:szCs w:val="24"/>
          <w:highlight w:val="none"/>
          <w:lang w:val="en-US" w:eastAsia="zh-CN"/>
        </w:rPr>
        <w:t>。</w:t>
      </w:r>
    </w:p>
    <w:p w14:paraId="4F51B81C">
      <w:pPr>
        <w:keepNext w:val="0"/>
        <w:keepLines w:val="0"/>
        <w:pageBreakBefore w:val="0"/>
        <w:kinsoku/>
        <w:wordWrap/>
        <w:overflowPunct/>
        <w:topLinePunct w:val="0"/>
        <w:bidi w:val="0"/>
        <w:adjustRightInd w:val="0"/>
        <w:spacing w:line="640" w:lineRule="exact"/>
        <w:ind w:firstLine="420" w:firstLineChars="200"/>
        <w:textAlignment w:val="auto"/>
        <w:rPr>
          <w:rFonts w:hint="eastAsia" w:ascii="仿宋" w:hAnsi="仿宋" w:eastAsia="仿宋" w:cs="仿宋"/>
          <w:szCs w:val="24"/>
          <w:highlight w:val="none"/>
        </w:rPr>
      </w:pPr>
      <w:r>
        <w:rPr>
          <w:rFonts w:hint="eastAsia" w:ascii="仿宋" w:hAnsi="仿宋" w:eastAsia="仿宋" w:cs="仿宋"/>
          <w:szCs w:val="24"/>
          <w:highlight w:val="none"/>
        </w:rPr>
        <w:t>7、本合同一式伍份，其中，买方贰份，卖方贰份。</w:t>
      </w:r>
    </w:p>
    <w:p w14:paraId="3C47A8A2">
      <w:pPr>
        <w:keepNext w:val="0"/>
        <w:keepLines w:val="0"/>
        <w:pageBreakBefore w:val="0"/>
        <w:kinsoku/>
        <w:wordWrap/>
        <w:overflowPunct/>
        <w:topLinePunct w:val="0"/>
        <w:bidi w:val="0"/>
        <w:adjustRightInd w:val="0"/>
        <w:snapToGrid w:val="0"/>
        <w:spacing w:line="640" w:lineRule="exact"/>
        <w:ind w:firstLine="420" w:firstLineChars="200"/>
        <w:textAlignment w:val="auto"/>
        <w:rPr>
          <w:rFonts w:hint="eastAsia" w:ascii="仿宋" w:hAnsi="仿宋" w:eastAsia="仿宋" w:cs="仿宋"/>
          <w:kern w:val="0"/>
          <w:szCs w:val="24"/>
          <w:highlight w:val="none"/>
        </w:rPr>
      </w:pPr>
      <w:r>
        <w:rPr>
          <w:rFonts w:hint="eastAsia" w:ascii="仿宋" w:hAnsi="仿宋" w:eastAsia="仿宋" w:cs="仿宋"/>
          <w:kern w:val="0"/>
          <w:szCs w:val="24"/>
          <w:highlight w:val="none"/>
        </w:rPr>
        <w:t>8、本合同由</w:t>
      </w:r>
      <w:r>
        <w:rPr>
          <w:rFonts w:hint="eastAsia" w:ascii="仿宋" w:hAnsi="仿宋" w:eastAsia="仿宋" w:cs="仿宋"/>
          <w:kern w:val="0"/>
          <w:szCs w:val="24"/>
          <w:highlight w:val="none"/>
          <w:lang w:val="en-US" w:eastAsia="zh-CN"/>
        </w:rPr>
        <w:t>甲乙</w:t>
      </w:r>
      <w:r>
        <w:rPr>
          <w:rFonts w:hint="eastAsia" w:ascii="仿宋" w:hAnsi="仿宋" w:eastAsia="仿宋" w:cs="仿宋"/>
          <w:kern w:val="0"/>
          <w:szCs w:val="24"/>
          <w:highlight w:val="none"/>
        </w:rPr>
        <w:t>双方共同签字盖章，自</w:t>
      </w:r>
      <w:r>
        <w:rPr>
          <w:rFonts w:hint="eastAsia" w:ascii="仿宋" w:hAnsi="仿宋" w:eastAsia="仿宋" w:cs="仿宋"/>
          <w:kern w:val="0"/>
          <w:szCs w:val="24"/>
          <w:highlight w:val="none"/>
          <w:lang w:val="en-US" w:eastAsia="zh-CN"/>
        </w:rPr>
        <w:t>甲乙</w:t>
      </w:r>
      <w:r>
        <w:rPr>
          <w:rFonts w:hint="eastAsia" w:ascii="仿宋" w:hAnsi="仿宋" w:eastAsia="仿宋" w:cs="仿宋"/>
          <w:kern w:val="0"/>
          <w:szCs w:val="24"/>
          <w:highlight w:val="none"/>
        </w:rPr>
        <w:t>双方签字盖章之日起生效。</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48C70FAD">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82FE10D">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甲方名称： </w:t>
            </w:r>
          </w:p>
          <w:p w14:paraId="498CE8A6">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地    址： </w:t>
            </w:r>
          </w:p>
          <w:p w14:paraId="5BAB85C5">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邮    编：</w:t>
            </w:r>
          </w:p>
          <w:p w14:paraId="79C84D1B">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电    话：</w:t>
            </w:r>
          </w:p>
          <w:p w14:paraId="41EAF6AB">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传    真：</w:t>
            </w:r>
          </w:p>
          <w:p w14:paraId="719B12DE">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p>
          <w:p w14:paraId="2E20139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p>
          <w:p w14:paraId="222F39B0">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代表签字：</w:t>
            </w:r>
          </w:p>
          <w:p w14:paraId="5D55CC14">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盖章：</w:t>
            </w:r>
          </w:p>
          <w:p w14:paraId="586AC1B7">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年  月  日      </w:t>
            </w:r>
          </w:p>
          <w:p w14:paraId="79062767">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w:t>
            </w:r>
          </w:p>
        </w:tc>
        <w:tc>
          <w:tcPr>
            <w:tcW w:w="3936" w:type="dxa"/>
            <w:noWrap w:val="0"/>
            <w:tcMar>
              <w:top w:w="113" w:type="dxa"/>
              <w:left w:w="113" w:type="dxa"/>
              <w:bottom w:w="113" w:type="dxa"/>
              <w:right w:w="113" w:type="dxa"/>
            </w:tcMar>
            <w:vAlign w:val="top"/>
          </w:tcPr>
          <w:p w14:paraId="4A2C458A">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乙方名称：</w:t>
            </w:r>
          </w:p>
          <w:p w14:paraId="7FFEAD67">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地    址： </w:t>
            </w:r>
          </w:p>
          <w:p w14:paraId="6EB86B31">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邮    编： </w:t>
            </w:r>
          </w:p>
          <w:p w14:paraId="7E8288E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电    话： </w:t>
            </w:r>
          </w:p>
          <w:p w14:paraId="53F01051">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传    真：  </w:t>
            </w:r>
          </w:p>
          <w:p w14:paraId="67C2D0BB">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开户银行：</w:t>
            </w:r>
          </w:p>
          <w:p w14:paraId="412E951E">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帐    号：</w:t>
            </w:r>
          </w:p>
          <w:p w14:paraId="6D6252DC">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代表签字</w:t>
            </w:r>
          </w:p>
          <w:p w14:paraId="7ADC7D2E">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盖章：</w:t>
            </w:r>
          </w:p>
          <w:p w14:paraId="44CEFFA6">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szCs w:val="24"/>
                <w:highlight w:val="none"/>
              </w:rPr>
            </w:pPr>
            <w:r>
              <w:rPr>
                <w:rFonts w:hint="eastAsia" w:ascii="仿宋" w:hAnsi="仿宋" w:eastAsia="仿宋" w:cs="仿宋"/>
                <w:szCs w:val="24"/>
                <w:highlight w:val="none"/>
              </w:rPr>
              <w:t xml:space="preserve">             年  月  日</w:t>
            </w:r>
          </w:p>
        </w:tc>
      </w:tr>
      <w:bookmarkEnd w:id="0"/>
      <w:bookmarkEnd w:id="1"/>
      <w:bookmarkEnd w:id="2"/>
      <w:bookmarkEnd w:id="3"/>
    </w:tbl>
    <w:p w14:paraId="7B41FC8B">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szCs w:val="24"/>
          <w:highlight w:val="none"/>
        </w:rPr>
      </w:pPr>
      <w:r>
        <w:rPr>
          <w:rFonts w:hint="eastAsia" w:ascii="仿宋" w:hAnsi="仿宋" w:eastAsia="仿宋" w:cs="仿宋"/>
          <w:szCs w:val="24"/>
          <w:highlight w:val="none"/>
        </w:rPr>
        <w:br w:type="page"/>
      </w:r>
      <w:r>
        <w:rPr>
          <w:rFonts w:hint="eastAsia" w:ascii="仿宋" w:hAnsi="仿宋" w:eastAsia="仿宋" w:cs="仿宋"/>
          <w:szCs w:val="24"/>
          <w:highlight w:val="none"/>
        </w:rPr>
        <w:t>二、合同条款</w:t>
      </w:r>
    </w:p>
    <w:p w14:paraId="607846D7">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第一条 本着平等互惠、互相支持、共同发展的原则，就甲方针对本项目的事宜， 经甲乙双方友好协商， 共同签署本合同， 以资共同遵守。 </w:t>
      </w:r>
    </w:p>
    <w:p w14:paraId="3829FB58">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第二条 服务定义：根据甲方需要，乙方为甲方提供该项目的服务等业务。 </w:t>
      </w:r>
    </w:p>
    <w:p w14:paraId="421A2414">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第三条 乙方服务人员：是指乙方派出的符合本合同资格条件的、在甲方从事本合同规定的施工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6A1235EB">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第四条 服务期限，从    年  月  日起至    年  月   日。</w:t>
      </w:r>
    </w:p>
    <w:p w14:paraId="78E8C0B3">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第五条 服务费用：人民币       元，合计人民币       元。</w:t>
      </w:r>
    </w:p>
    <w:p w14:paraId="4FA8DA84">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第六条费支付方式：</w:t>
      </w:r>
    </w:p>
    <w:p w14:paraId="69FEC7E5">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签订合同时双方协商决定。</w:t>
      </w:r>
    </w:p>
    <w:p w14:paraId="2ABB8858">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第七条 甲方的权利</w:t>
      </w:r>
    </w:p>
    <w:p w14:paraId="39A958F6">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1、甲方有权享有乙方按照上述约定提供的服务。</w:t>
      </w:r>
    </w:p>
    <w:p w14:paraId="28DF56E7">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74696A54">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4AD002FB">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4、除本合同约定的服务费用外，乙方不得向甲方及其甲方人员收取其他任何费用，如甲方发现乙方有此类行为，甲方有权要求乙方清退所收费用，退还利息并支付违约金；</w:t>
      </w:r>
    </w:p>
    <w:p w14:paraId="298978B7">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5、对乙方规划成果的所有权、使用权和著作权归属的约定：归甲方所有。乙方不得以任何借口留存，否则承担由此产生的一切法律和经济责任。未经甲方允许，任何单位和个人不得转让和使用本项目的规划成果。</w:t>
      </w:r>
    </w:p>
    <w:p w14:paraId="0F1A7331">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第八条 甲方的义务</w:t>
      </w:r>
    </w:p>
    <w:p w14:paraId="40B67305">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1、在服务实施过程中，甲方应为乙方提供必要的工作便利与指导，配合乙方履行职责。 </w:t>
      </w:r>
    </w:p>
    <w:p w14:paraId="442E1A88">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2、甲方不得将本合同的内容向甲乙双方以外的、与签订和履行本合同无关的任何第三方透露，不得泄露乙方的商业秘密（包括本合同及其附件和合同签订前的各项方案） 。</w:t>
      </w:r>
    </w:p>
    <w:p w14:paraId="1381C8BC">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第九条 任何一方违反或擅自变更本合同的约定，应当承担由此给对方造成的经济损失和相关责任。</w:t>
      </w:r>
    </w:p>
    <w:p w14:paraId="7AA3B1A1">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第十条甲方违约责任</w:t>
      </w:r>
    </w:p>
    <w:p w14:paraId="05CEAC63">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1、由于甲方的原因或因不可抗力的自然因素影响，则服务周期顺延。</w:t>
      </w:r>
    </w:p>
    <w:p w14:paraId="63B8F9AF">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2、对于乙方提供的图纸等资料以及属于乙方的规划成果，甲方有义务保密，不得向第三方提供或用于本合同以外的项目，否则乙方有权要求甲方按本合同项目款总额的20%赔偿损失。 </w:t>
      </w:r>
    </w:p>
    <w:p w14:paraId="58CA624C">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第十一条乙方违约责任</w:t>
      </w:r>
    </w:p>
    <w:p w14:paraId="4A8A2EFE">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1、合同签订后，如乙方擅自中途停止或解除合同，乙方应向甲方双倍返还定金。没有约定定金的，乙方向甲方赔偿规划服务价款的。</w:t>
      </w:r>
    </w:p>
    <w:p w14:paraId="60829E14">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2、在甲方提供了必要的工作、生活条件，并且保证了项目款按时到位，乙方未能按合同规定的日期提交规划成果时，应向甲方赔偿拖期损失费，每天的拖期损失费按合同约定的项目总造价款的。</w:t>
      </w:r>
    </w:p>
    <w:p w14:paraId="5077A6BE">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3、因天气、交通、政府行为、甲方提供的资料不准确等客观原因造成的规划周期拖期，乙方不承担赔偿责任。 </w:t>
      </w:r>
    </w:p>
    <w:p w14:paraId="0156F564">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4、规划服务实施过程中，乙方未按投标书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8F58FDE">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5、乙方有责任按甲方要求分期提交项目阶段性成果。如乙方未能按规定的设计周期交付成果，每延误一天，应付逾期违约金人民币（但由于受天气等不可抗力的自然因素影响，则工期顺延），逾期10天以上的，甲方除有权终止履行合同外，乙方应承担因延期造成的损失。同时，甲方有权根据乙方所承担服务的质量和进度是否符合要求而对服务的内容进行调整。</w:t>
      </w:r>
    </w:p>
    <w:p w14:paraId="7AE7980B">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6、乙方提供的规划服务成果质量不合格的，乙方应负责无偿予以重测或采取补救措施，以达到质量要求。因规划服务成果最终不符合合同要求（而又非甲方提供的资料原因所致）造成后果时，乙方应对因此造成的直接损失负赔偿责任，并承担相应的法律责任（由于甲方提供的图纸资料原因产生的责任由甲方自己负责）。</w:t>
      </w:r>
    </w:p>
    <w:p w14:paraId="643E7386">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返工周期为    天，到   年  月  日前完成，并向甲方提供规划成果。由于返工造成逾期交付成果的，按延误服务周期偿付逾期违约金。若返工后还无法通过验收，甲方有权单方解除合同，并追回所付项目款。 </w:t>
      </w:r>
    </w:p>
    <w:p w14:paraId="2AABD84F">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7、在合同期内和合同终止后，乙方应负责所有成果、资料的保密，非经甲方书面认可，不得向任何人以任何方式提供任何资料。严格按甲方要求程序传递各种资料，否则甲方有权单方解除合同，并追回所付项目款。乙方提交成果后十日内，退回全部原始资料。否则，甲方有权要求乙方按本合同项目款总额的20%赔偿损失，并追究其法律责任。</w:t>
      </w:r>
    </w:p>
    <w:p w14:paraId="78B85B1B">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8、乙方不得将本项目的任何部分转包或分包给其他任何单位和个人。若擅自转包或分包本合同标的，甲方有权解除合同，并可要求乙方偿付预算工程费30%的违约金，同时追究其法律责任。 </w:t>
      </w:r>
    </w:p>
    <w:p w14:paraId="22CA8A87">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第十二条 甲乙任何一方按照本合同规定索取违约金或赔偿金时，应书面通知违约方并说明违约金或赔偿金额；违约方应在收到对方发出的书面索赔通知的十个工作日内按索赔要求支付违约金或经 济赔偿；如违约方对违约金或赔偿金额有异议，应在收到通知后七个工作日内通知对方，双方应在收到对方的通知或答复后尽快协商明确 违约责任。</w:t>
      </w:r>
    </w:p>
    <w:p w14:paraId="2E7F3596">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第十三条 因执行本合同发生的一切争议，双方应首先友好协商解决。经协商不能解决，应向甲方所在地人民法院提起诉讼。在诉讼 期间，除必须在诉讼过程中进行解决的问题外，合同其余部分应继续履行。 </w:t>
      </w:r>
    </w:p>
    <w:p w14:paraId="7D2DD4E6">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第十四条 甲、乙双方有一方有正当理由要求变更本合同，须提前一个月以书面形式通知对方并协商解决，双方应签署变更合同。 </w:t>
      </w:r>
    </w:p>
    <w:p w14:paraId="522A6519">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 xml:space="preserve">第十五条 本合同期满双方不再续约或者因一方违约导致本合同无法履行，则本合同终止。但合同的终止不得损害第三方的利益，双方应为此做出合理安排。 </w:t>
      </w:r>
    </w:p>
    <w:p w14:paraId="65487B1E">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第十六条 未经对方同意，甲乙任何一方不得将本合同部分或全部权利和义务转让给第三方。</w:t>
      </w:r>
    </w:p>
    <w:p w14:paraId="61D72F82">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第十七条 本合同中涉及的所有“通知”、“同意”、“确认” 等事项均应以书面形式做出，并作为依据。</w:t>
      </w:r>
    </w:p>
    <w:p w14:paraId="3EB5D21A">
      <w:pPr>
        <w:keepNext w:val="0"/>
        <w:keepLines w:val="0"/>
        <w:pageBreakBefore w:val="0"/>
        <w:widowControl w:val="0"/>
        <w:kinsoku/>
        <w:wordWrap/>
        <w:overflowPunct/>
        <w:topLinePunct w:val="0"/>
        <w:autoSpaceDE/>
        <w:autoSpaceDN/>
        <w:bidi w:val="0"/>
        <w:adjustRightInd/>
        <w:snapToGrid/>
        <w:spacing w:line="640" w:lineRule="exact"/>
        <w:ind w:firstLine="539" w:firstLineChars="257"/>
        <w:textAlignment w:val="auto"/>
        <w:outlineLvl w:val="9"/>
        <w:rPr>
          <w:rFonts w:hint="eastAsia" w:ascii="仿宋" w:hAnsi="仿宋" w:eastAsia="仿宋" w:cs="仿宋"/>
          <w:kern w:val="0"/>
          <w:szCs w:val="24"/>
          <w:highlight w:val="none"/>
        </w:rPr>
      </w:pPr>
      <w:r>
        <w:rPr>
          <w:rFonts w:hint="eastAsia" w:ascii="仿宋" w:hAnsi="仿宋" w:eastAsia="仿宋" w:cs="仿宋"/>
          <w:kern w:val="0"/>
          <w:szCs w:val="24"/>
          <w:highlight w:val="none"/>
        </w:rPr>
        <w:t>第十八条 本合同有关附件及补充合同是本合同不可分割的组成部分，与本合同具有同等法律效力；本合同未尽事宜，双方另行协商并签署补充合同，作为本合同的附件，具有同等法律效力。</w:t>
      </w:r>
    </w:p>
    <w:p w14:paraId="783DB297">
      <w:pPr>
        <w:spacing w:line="480" w:lineRule="exact"/>
        <w:rPr>
          <w:rFonts w:hint="eastAsia" w:ascii="仿宋" w:hAnsi="仿宋" w:eastAsia="仿宋" w:cs="仿宋"/>
          <w:kern w:val="0"/>
          <w:sz w:val="28"/>
          <w:szCs w:val="28"/>
          <w:highlight w:val="none"/>
        </w:rPr>
      </w:pPr>
    </w:p>
    <w:p w14:paraId="47E029CB">
      <w:pPr>
        <w:keepNext w:val="0"/>
        <w:keepLines w:val="0"/>
        <w:pageBreakBefore w:val="0"/>
        <w:widowControl w:val="0"/>
        <w:kinsoku/>
        <w:wordWrap/>
        <w:overflowPunct/>
        <w:topLinePunct w:val="0"/>
        <w:autoSpaceDE/>
        <w:autoSpaceDN/>
        <w:bidi w:val="0"/>
        <w:adjustRightInd/>
        <w:spacing w:line="640" w:lineRule="exact"/>
        <w:textAlignment w:val="auto"/>
        <w:rPr>
          <w:rFonts w:hint="eastAsia" w:ascii="仿宋" w:hAnsi="仿宋" w:eastAsia="仿宋" w:cs="仿宋"/>
          <w:color w:val="auto"/>
          <w:kern w:val="0"/>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B45F7"/>
    <w:rsid w:val="10EB7B6F"/>
    <w:rsid w:val="4BD63FAB"/>
    <w:rsid w:val="506B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ascii="Tahoma" w:hAnsi="Tahoma"/>
      <w:b/>
      <w:bCs/>
      <w:kern w:val="44"/>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rFonts w:ascii="Tahoma" w:hAnsi="Tahoma"/>
      <w:sz w:val="18"/>
      <w:szCs w:val="18"/>
    </w:rPr>
  </w:style>
  <w:style w:type="paragraph" w:styleId="4">
    <w:name w:val="Plain Text"/>
    <w:basedOn w:val="1"/>
    <w:qFormat/>
    <w:uiPriority w:val="0"/>
    <w:rPr>
      <w:rFonts w:ascii="宋体" w:hAnsi="Courier New"/>
      <w:szCs w:val="20"/>
    </w:rPr>
  </w:style>
  <w:style w:type="paragraph" w:styleId="5">
    <w:name w:val="toc 1"/>
    <w:basedOn w:val="1"/>
    <w:next w:val="1"/>
    <w:qFormat/>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2838</Words>
  <Characters>2854</Characters>
  <Lines>0</Lines>
  <Paragraphs>0</Paragraphs>
  <TotalTime>3</TotalTime>
  <ScaleCrop>false</ScaleCrop>
  <LinksUpToDate>false</LinksUpToDate>
  <CharactersWithSpaces>3093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2025-08-14T16:06:00Z</dcterms:created>
  <dc:creator>Miss. Kang✨</dc:creator>
  <cp:lastModifiedBy>Miss. Kang✨</cp:lastModifiedBy>
  <dcterms:modified xsi:type="dcterms:W3CDTF">2025-09-05T06:19:53Z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F4F73A58F9164456BED2C8B86B302478_11</vt:lpwstr>
  </property>
  <property fmtid="{D5CDD505-2E9C-101B-9397-08002B2CF9AE}" pid="4" name="KSOTemplateDocerSaveRecord">
    <vt:lpwstr>eyJoZGlkIjoiMmVkZDQxYmU0OGEwZjdlMjg4N2VlMjg0MjRmOTM4YzUiLCJ1c2VySWQiOiIzNDcwNTk2NzgifQ==</vt:lpwstr>
  </property>
</Properties>
</file>