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87C1A">
      <w:pPr>
        <w:spacing w:line="360" w:lineRule="auto"/>
        <w:jc w:val="center"/>
        <w:rPr>
          <w:rFonts w:hint="eastAsia" w:ascii="宋体" w:hAnsi="宋体" w:eastAsia="宋体" w:cs="宋体"/>
          <w:spacing w:val="12"/>
          <w:sz w:val="40"/>
          <w:szCs w:val="40"/>
        </w:rPr>
      </w:pPr>
      <w:bookmarkStart w:id="4" w:name="_GoBack"/>
      <w:bookmarkEnd w:id="4"/>
      <w:bookmarkStart w:id="0" w:name="_Toc3133"/>
      <w:r>
        <w:rPr>
          <w:rFonts w:hint="eastAsia" w:ascii="宋体" w:hAnsi="宋体" w:cs="宋体"/>
          <w:spacing w:val="12"/>
          <w:sz w:val="22"/>
          <w:szCs w:val="22"/>
        </w:rPr>
        <w:t>注：本合同仅为合同的参考文本，合同签订双方可根据项目的具体要求进行修订。</w:t>
      </w:r>
    </w:p>
    <w:p w14:paraId="146EBE9B">
      <w:pPr>
        <w:spacing w:line="360" w:lineRule="auto"/>
        <w:jc w:val="center"/>
        <w:rPr>
          <w:rFonts w:hint="eastAsia" w:ascii="宋体" w:hAnsi="宋体" w:eastAsia="宋体" w:cs="宋体"/>
          <w:spacing w:val="12"/>
          <w:sz w:val="44"/>
          <w:szCs w:val="44"/>
        </w:rPr>
      </w:pPr>
    </w:p>
    <w:p w14:paraId="596C610E">
      <w:pPr>
        <w:spacing w:line="360" w:lineRule="auto"/>
        <w:jc w:val="center"/>
        <w:rPr>
          <w:rFonts w:hint="eastAsia" w:ascii="宋体" w:hAnsi="宋体" w:eastAsia="宋体" w:cs="宋体"/>
          <w:spacing w:val="12"/>
          <w:sz w:val="44"/>
          <w:szCs w:val="44"/>
        </w:rPr>
      </w:pPr>
    </w:p>
    <w:p w14:paraId="3009970A">
      <w:pPr>
        <w:spacing w:line="360" w:lineRule="auto"/>
        <w:jc w:val="center"/>
        <w:rPr>
          <w:rFonts w:hint="eastAsia" w:ascii="宋体" w:hAnsi="宋体" w:eastAsia="宋体" w:cs="宋体"/>
          <w:b w:val="0"/>
          <w:bCs w:val="0"/>
          <w:spacing w:val="12"/>
          <w:sz w:val="52"/>
          <w:szCs w:val="52"/>
        </w:rPr>
      </w:pPr>
      <w:r>
        <w:rPr>
          <w:rFonts w:hint="eastAsia" w:ascii="宋体" w:hAnsi="宋体" w:eastAsia="宋体" w:cs="宋体"/>
          <w:b w:val="0"/>
          <w:bCs w:val="0"/>
          <w:spacing w:val="74"/>
          <w:kern w:val="0"/>
          <w:sz w:val="52"/>
          <w:szCs w:val="52"/>
          <w:fitText w:val="5200" w:id="218063478"/>
        </w:rPr>
        <w:t>医疗设备采购项</w:t>
      </w:r>
      <w:r>
        <w:rPr>
          <w:rFonts w:hint="eastAsia" w:ascii="宋体" w:hAnsi="宋体" w:eastAsia="宋体" w:cs="宋体"/>
          <w:b w:val="0"/>
          <w:bCs w:val="0"/>
          <w:spacing w:val="2"/>
          <w:kern w:val="0"/>
          <w:sz w:val="52"/>
          <w:szCs w:val="52"/>
          <w:fitText w:val="5200" w:id="218063478"/>
        </w:rPr>
        <w:t>目</w:t>
      </w:r>
    </w:p>
    <w:p w14:paraId="05B17B40">
      <w:pPr>
        <w:pStyle w:val="8"/>
        <w:ind w:left="0" w:leftChars="0" w:firstLine="0" w:firstLineChars="0"/>
        <w:jc w:val="center"/>
        <w:rPr>
          <w:rFonts w:hint="default" w:ascii="宋体" w:hAnsi="宋体" w:eastAsia="宋体" w:cs="宋体"/>
          <w:b w:val="0"/>
          <w:bCs w:val="0"/>
          <w:color w:val="auto"/>
          <w:sz w:val="44"/>
          <w:szCs w:val="44"/>
          <w:highlight w:val="none"/>
          <w:lang w:val="en-US" w:eastAsia="zh-CN"/>
        </w:rPr>
      </w:pPr>
    </w:p>
    <w:p w14:paraId="39589D63">
      <w:pPr>
        <w:rPr>
          <w:rFonts w:hint="eastAsia"/>
          <w:b w:val="0"/>
          <w:bCs w:val="0"/>
        </w:rPr>
      </w:pPr>
    </w:p>
    <w:p w14:paraId="5F1AEABA">
      <w:pPr>
        <w:pStyle w:val="12"/>
        <w:rPr>
          <w:rFonts w:hint="eastAsia"/>
          <w:b w:val="0"/>
          <w:bCs w:val="0"/>
        </w:rPr>
      </w:pPr>
    </w:p>
    <w:p w14:paraId="7E181E88">
      <w:pPr>
        <w:rPr>
          <w:rFonts w:hint="eastAsia"/>
          <w:b w:val="0"/>
          <w:bCs w:val="0"/>
        </w:rPr>
      </w:pPr>
    </w:p>
    <w:p w14:paraId="3C1A9703">
      <w:pPr>
        <w:pStyle w:val="12"/>
        <w:rPr>
          <w:rFonts w:hint="eastAsia"/>
          <w:b w:val="0"/>
          <w:bCs w:val="0"/>
        </w:rPr>
      </w:pPr>
    </w:p>
    <w:p w14:paraId="2EBA8ADF">
      <w:pPr>
        <w:rPr>
          <w:rFonts w:hint="eastAsia"/>
          <w:b w:val="0"/>
          <w:bCs w:val="0"/>
        </w:rPr>
      </w:pPr>
    </w:p>
    <w:p w14:paraId="233E873F">
      <w:pPr>
        <w:rPr>
          <w:rFonts w:hint="eastAsia"/>
          <w:b w:val="0"/>
          <w:bCs w:val="0"/>
        </w:rPr>
      </w:pPr>
    </w:p>
    <w:p w14:paraId="617F3DCC">
      <w:pPr>
        <w:pStyle w:val="12"/>
        <w:rPr>
          <w:rFonts w:hint="eastAsia"/>
          <w:b w:val="0"/>
          <w:bCs w:val="0"/>
        </w:rPr>
      </w:pPr>
    </w:p>
    <w:p w14:paraId="73A32076">
      <w:pPr>
        <w:spacing w:line="360" w:lineRule="auto"/>
        <w:jc w:val="center"/>
        <w:rPr>
          <w:rFonts w:hint="eastAsia" w:ascii="宋体" w:hAnsi="宋体" w:eastAsia="宋体" w:cs="宋体"/>
          <w:b w:val="0"/>
          <w:bCs w:val="0"/>
          <w:spacing w:val="12"/>
          <w:sz w:val="44"/>
          <w:szCs w:val="44"/>
        </w:rPr>
      </w:pPr>
      <w:r>
        <w:rPr>
          <w:rFonts w:hint="eastAsia" w:ascii="宋体" w:hAnsi="宋体" w:eastAsia="宋体" w:cs="宋体"/>
          <w:b w:val="0"/>
          <w:bCs w:val="0"/>
          <w:spacing w:val="12"/>
          <w:sz w:val="44"/>
          <w:szCs w:val="44"/>
        </w:rPr>
        <w:t>政府采购合同书</w:t>
      </w:r>
    </w:p>
    <w:p w14:paraId="118D668E">
      <w:pPr>
        <w:spacing w:line="360" w:lineRule="auto"/>
        <w:jc w:val="center"/>
        <w:rPr>
          <w:rFonts w:hint="eastAsia" w:ascii="宋体" w:hAnsi="宋体" w:eastAsia="宋体" w:cs="宋体"/>
          <w:b w:val="0"/>
          <w:bCs w:val="0"/>
          <w:spacing w:val="12"/>
          <w:sz w:val="44"/>
          <w:szCs w:val="44"/>
        </w:rPr>
      </w:pPr>
      <w:r>
        <w:rPr>
          <w:rFonts w:hint="eastAsia" w:ascii="宋体" w:hAnsi="宋体" w:eastAsia="宋体" w:cs="宋体"/>
          <w:b w:val="0"/>
          <w:bCs w:val="0"/>
          <w:spacing w:val="12"/>
          <w:sz w:val="32"/>
          <w:szCs w:val="32"/>
        </w:rPr>
        <w:t xml:space="preserve">                   </w:t>
      </w:r>
    </w:p>
    <w:p w14:paraId="0D948C65">
      <w:pPr>
        <w:rPr>
          <w:rFonts w:hint="eastAsia" w:ascii="宋体" w:hAnsi="宋体" w:eastAsia="宋体" w:cs="宋体"/>
          <w:b w:val="0"/>
          <w:bCs w:val="0"/>
          <w:spacing w:val="12"/>
          <w:sz w:val="32"/>
          <w:szCs w:val="32"/>
          <w:u w:val="single"/>
        </w:rPr>
      </w:pPr>
    </w:p>
    <w:p w14:paraId="09727A79">
      <w:pPr>
        <w:rPr>
          <w:rFonts w:hint="eastAsia" w:ascii="宋体" w:hAnsi="宋体" w:eastAsia="宋体" w:cs="宋体"/>
          <w:b w:val="0"/>
          <w:bCs w:val="0"/>
          <w:spacing w:val="12"/>
          <w:sz w:val="32"/>
          <w:szCs w:val="32"/>
          <w:u w:val="single"/>
        </w:rPr>
      </w:pPr>
    </w:p>
    <w:p w14:paraId="05CC7EC9">
      <w:pPr>
        <w:pStyle w:val="9"/>
        <w:rPr>
          <w:rFonts w:hint="eastAsia"/>
          <w:b w:val="0"/>
          <w:bCs w:val="0"/>
        </w:rPr>
      </w:pPr>
    </w:p>
    <w:p w14:paraId="678A6AF8">
      <w:pPr>
        <w:pStyle w:val="9"/>
        <w:rPr>
          <w:rFonts w:hint="eastAsia" w:ascii="宋体" w:hAnsi="宋体" w:eastAsia="宋体" w:cs="宋体"/>
          <w:b w:val="0"/>
          <w:bCs w:val="0"/>
        </w:rPr>
      </w:pPr>
    </w:p>
    <w:p w14:paraId="74D9B668">
      <w:pPr>
        <w:rPr>
          <w:rFonts w:hint="eastAsia" w:ascii="宋体" w:hAnsi="宋体" w:eastAsia="宋体" w:cs="宋体"/>
          <w:b w:val="0"/>
          <w:bCs w:val="0"/>
        </w:rPr>
      </w:pPr>
    </w:p>
    <w:p w14:paraId="64DF09CB">
      <w:pPr>
        <w:rPr>
          <w:rFonts w:hint="eastAsia" w:ascii="宋体" w:hAnsi="宋体" w:eastAsia="宋体" w:cs="宋体"/>
          <w:b w:val="0"/>
          <w:bCs w:val="0"/>
        </w:rPr>
      </w:pPr>
    </w:p>
    <w:p w14:paraId="648E983A">
      <w:pPr>
        <w:spacing w:line="360" w:lineRule="auto"/>
        <w:ind w:firstLine="2064" w:firstLineChars="600"/>
        <w:jc w:val="left"/>
        <w:rPr>
          <w:rFonts w:hint="eastAsia" w:ascii="宋体" w:hAnsi="宋体" w:eastAsia="宋体" w:cs="宋体"/>
          <w:b w:val="0"/>
          <w:bCs w:val="0"/>
          <w:spacing w:val="12"/>
          <w:sz w:val="32"/>
          <w:szCs w:val="32"/>
        </w:rPr>
      </w:pPr>
    </w:p>
    <w:p w14:paraId="17000397">
      <w:pPr>
        <w:spacing w:line="360" w:lineRule="auto"/>
        <w:ind w:firstLine="2064" w:firstLineChars="600"/>
        <w:jc w:val="left"/>
        <w:rPr>
          <w:rFonts w:hint="eastAsia" w:ascii="宋体" w:hAnsi="宋体" w:eastAsia="宋体" w:cs="宋体"/>
          <w:b w:val="0"/>
          <w:bCs w:val="0"/>
          <w:spacing w:val="12"/>
          <w:sz w:val="32"/>
          <w:szCs w:val="32"/>
          <w:lang w:eastAsia="zh-CN"/>
        </w:rPr>
      </w:pPr>
      <w:r>
        <w:rPr>
          <w:rFonts w:hint="eastAsia" w:ascii="宋体" w:hAnsi="宋体" w:eastAsia="宋体" w:cs="宋体"/>
          <w:b w:val="0"/>
          <w:bCs w:val="0"/>
          <w:spacing w:val="12"/>
          <w:sz w:val="32"/>
          <w:szCs w:val="32"/>
        </w:rPr>
        <w:t>采购人：渭南市华州区人民医院</w:t>
      </w:r>
    </w:p>
    <w:p w14:paraId="5EF51DB8">
      <w:pPr>
        <w:spacing w:line="360" w:lineRule="auto"/>
        <w:ind w:firstLine="2064" w:firstLineChars="600"/>
        <w:rPr>
          <w:rFonts w:hint="eastAsia" w:ascii="宋体" w:hAnsi="宋体" w:eastAsia="宋体" w:cs="宋体"/>
          <w:b w:val="0"/>
          <w:bCs w:val="0"/>
          <w:spacing w:val="12"/>
          <w:sz w:val="32"/>
          <w:szCs w:val="32"/>
        </w:rPr>
      </w:pPr>
      <w:r>
        <w:rPr>
          <w:rFonts w:hint="eastAsia" w:ascii="宋体" w:hAnsi="宋体" w:eastAsia="宋体" w:cs="宋体"/>
          <w:b w:val="0"/>
          <w:bCs w:val="0"/>
          <w:spacing w:val="12"/>
          <w:sz w:val="32"/>
          <w:szCs w:val="32"/>
          <w:lang w:val="en-US" w:eastAsia="zh-CN"/>
        </w:rPr>
        <w:t>供应商</w:t>
      </w:r>
      <w:r>
        <w:rPr>
          <w:rFonts w:hint="eastAsia" w:ascii="宋体" w:hAnsi="宋体" w:eastAsia="宋体" w:cs="宋体"/>
          <w:b w:val="0"/>
          <w:bCs w:val="0"/>
          <w:spacing w:val="12"/>
          <w:sz w:val="32"/>
          <w:szCs w:val="32"/>
        </w:rPr>
        <w:t>：</w:t>
      </w:r>
    </w:p>
    <w:p w14:paraId="5B710A3D">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sz w:val="21"/>
          <w:szCs w:val="21"/>
        </w:rPr>
      </w:pPr>
      <w:r>
        <w:rPr>
          <w:rFonts w:hint="eastAsia" w:ascii="宋体" w:hAnsi="宋体" w:eastAsia="宋体" w:cs="宋体"/>
          <w:sz w:val="24"/>
        </w:rPr>
        <w:br w:type="page"/>
      </w:r>
      <w:bookmarkStart w:id="1" w:name="_Toc120900352"/>
      <w:bookmarkStart w:id="2" w:name="_Toc86310978"/>
      <w:bookmarkStart w:id="3" w:name="_Toc99136014"/>
      <w:r>
        <w:rPr>
          <w:rFonts w:hint="eastAsia" w:ascii="宋体" w:hAnsi="宋体" w:eastAsia="宋体" w:cs="宋体"/>
          <w:sz w:val="21"/>
          <w:szCs w:val="21"/>
        </w:rPr>
        <w:t xml:space="preserve">签订地点：  </w:t>
      </w:r>
    </w:p>
    <w:p w14:paraId="0EA585D5">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项目编号</w:t>
      </w:r>
      <w:r>
        <w:rPr>
          <w:rFonts w:hint="eastAsia" w:ascii="宋体" w:hAnsi="宋体" w:eastAsia="宋体" w:cs="宋体"/>
          <w:color w:val="auto"/>
          <w:sz w:val="21"/>
          <w:szCs w:val="21"/>
        </w:rPr>
        <w:t xml:space="preserve">：   </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签订时间：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日</w:t>
      </w:r>
    </w:p>
    <w:p w14:paraId="75B98A6A">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sz w:val="21"/>
          <w:szCs w:val="21"/>
          <w:lang w:eastAsia="zh-CN"/>
        </w:rPr>
      </w:pPr>
      <w:r>
        <w:rPr>
          <w:rFonts w:hint="eastAsia" w:ascii="宋体" w:hAnsi="宋体" w:eastAsia="宋体" w:cs="宋体"/>
          <w:sz w:val="21"/>
          <w:szCs w:val="21"/>
        </w:rPr>
        <w:t>采购人（以下简称甲方）：</w:t>
      </w:r>
      <w:r>
        <w:rPr>
          <w:rFonts w:hint="eastAsia" w:ascii="宋体" w:hAnsi="宋体" w:eastAsia="宋体" w:cs="宋体"/>
          <w:sz w:val="21"/>
          <w:szCs w:val="21"/>
          <w:u w:val="none"/>
        </w:rPr>
        <w:t>渭南市华州区人民医院</w:t>
      </w:r>
    </w:p>
    <w:p w14:paraId="037E94CB">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（以下简称乙方）：</w:t>
      </w:r>
    </w:p>
    <w:p w14:paraId="402283E0">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根据</w:t>
      </w:r>
      <w:r>
        <w:rPr>
          <w:rFonts w:hint="eastAsia" w:ascii="宋体" w:hAnsi="宋体" w:eastAsia="宋体" w:cs="宋体"/>
          <w:b w:val="0"/>
          <w:bCs w:val="0"/>
          <w:sz w:val="21"/>
          <w:szCs w:val="21"/>
          <w:highlight w:val="none"/>
          <w:u w:val="single"/>
          <w:lang w:eastAsia="zh-CN"/>
        </w:rPr>
        <w:t>医疗设备采购项目</w:t>
      </w:r>
      <w:r>
        <w:rPr>
          <w:rFonts w:hint="eastAsia" w:ascii="宋体" w:hAnsi="宋体" w:eastAsia="宋体" w:cs="宋体"/>
          <w:sz w:val="21"/>
          <w:szCs w:val="21"/>
        </w:rPr>
        <w:t>的采购结果，按照《中华人民共和国政府采购法》、《中华人民共和国民法典》等规定，经双方协商，本着平等互利和诚实信用的原则，一致同意签订本合同如下。</w:t>
      </w:r>
    </w:p>
    <w:p w14:paraId="5D4A73B4">
      <w:pPr>
        <w:keepNext w:val="0"/>
        <w:keepLines w:val="0"/>
        <w:pageBreakBefore w:val="0"/>
        <w:widowControl w:val="0"/>
        <w:kinsoku/>
        <w:wordWrap/>
        <w:overflowPunct/>
        <w:topLinePunct w:val="0"/>
        <w:autoSpaceDE/>
        <w:autoSpaceDN/>
        <w:bidi w:val="0"/>
        <w:spacing w:line="400" w:lineRule="exact"/>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一、合同文件</w:t>
      </w:r>
    </w:p>
    <w:p w14:paraId="20522F22">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1、协议书条款；</w:t>
      </w:r>
    </w:p>
    <w:p w14:paraId="13DC0C69">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2、招标文件；</w:t>
      </w:r>
    </w:p>
    <w:p w14:paraId="78F14E9A">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3、投标文件；</w:t>
      </w:r>
    </w:p>
    <w:p w14:paraId="6F389781">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14:paraId="6C694B8D">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5、其他。</w:t>
      </w:r>
    </w:p>
    <w:p w14:paraId="509A83B9">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上述所指合同文件应认为是互相补充和解释的，但是有模棱两可或互相矛盾之处，以其所列内容顺序为准。</w:t>
      </w:r>
    </w:p>
    <w:p w14:paraId="25E3C2C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二、交付条件：</w:t>
      </w:r>
    </w:p>
    <w:p w14:paraId="779BF7C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交</w:t>
      </w:r>
      <w:r>
        <w:rPr>
          <w:rFonts w:hint="eastAsia" w:ascii="宋体" w:hAnsi="宋体" w:eastAsia="宋体" w:cs="宋体"/>
          <w:kern w:val="0"/>
          <w:sz w:val="21"/>
          <w:szCs w:val="21"/>
          <w:lang w:val="en-US" w:eastAsia="zh-CN"/>
        </w:rPr>
        <w:t>货</w:t>
      </w:r>
      <w:r>
        <w:rPr>
          <w:rFonts w:hint="eastAsia" w:ascii="宋体" w:hAnsi="宋体" w:eastAsia="宋体" w:cs="宋体"/>
          <w:kern w:val="0"/>
          <w:sz w:val="21"/>
          <w:szCs w:val="21"/>
        </w:rPr>
        <w:t>地点：</w:t>
      </w:r>
      <w:r>
        <w:rPr>
          <w:rFonts w:hint="eastAsia" w:ascii="宋体" w:hAnsi="宋体" w:eastAsia="宋体" w:cs="宋体"/>
          <w:kern w:val="0"/>
          <w:sz w:val="21"/>
          <w:szCs w:val="21"/>
          <w:u w:val="single"/>
          <w:lang w:val="en-US" w:eastAsia="zh-CN"/>
        </w:rPr>
        <w:t>渭南市华州区人民医院</w:t>
      </w:r>
      <w:r>
        <w:rPr>
          <w:rFonts w:hint="eastAsia" w:ascii="宋体" w:hAnsi="宋体" w:eastAsia="宋体" w:cs="宋体"/>
          <w:kern w:val="0"/>
          <w:sz w:val="21"/>
          <w:szCs w:val="21"/>
          <w:lang w:val="en-US" w:eastAsia="zh-CN"/>
        </w:rPr>
        <w:t>。</w:t>
      </w:r>
    </w:p>
    <w:p w14:paraId="0DBE9E8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交</w:t>
      </w:r>
      <w:r>
        <w:rPr>
          <w:rFonts w:hint="eastAsia" w:ascii="宋体" w:hAnsi="宋体" w:eastAsia="宋体" w:cs="宋体"/>
          <w:kern w:val="0"/>
          <w:sz w:val="21"/>
          <w:szCs w:val="21"/>
          <w:lang w:val="en-US" w:eastAsia="zh-CN"/>
        </w:rPr>
        <w:t>货</w:t>
      </w:r>
      <w:r>
        <w:rPr>
          <w:rFonts w:hint="eastAsia" w:ascii="宋体" w:hAnsi="宋体" w:eastAsia="宋体" w:cs="宋体"/>
          <w:kern w:val="0"/>
          <w:sz w:val="21"/>
          <w:szCs w:val="21"/>
        </w:rPr>
        <w:t>期：</w:t>
      </w:r>
      <w:r>
        <w:rPr>
          <w:rFonts w:hint="eastAsia" w:ascii="宋体" w:hAnsi="宋体" w:eastAsia="宋体" w:cs="宋体"/>
          <w:kern w:val="0"/>
          <w:sz w:val="21"/>
          <w:szCs w:val="21"/>
          <w:u w:val="single"/>
          <w:lang w:val="en-US" w:eastAsia="zh-CN"/>
        </w:rPr>
        <w:t xml:space="preserve">                      </w:t>
      </w:r>
      <w:r>
        <w:rPr>
          <w:rFonts w:hint="eastAsia" w:ascii="宋体" w:hAnsi="宋体" w:eastAsia="宋体" w:cs="宋体"/>
          <w:kern w:val="0"/>
          <w:sz w:val="21"/>
          <w:szCs w:val="21"/>
        </w:rPr>
        <w:t>。</w:t>
      </w:r>
    </w:p>
    <w:p w14:paraId="37D58B1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三、合同价款及款项结算：</w:t>
      </w:r>
    </w:p>
    <w:p w14:paraId="3812610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lang w:val="en-US" w:eastAsia="zh-CN"/>
        </w:rPr>
        <w:t>1、</w:t>
      </w:r>
      <w:r>
        <w:rPr>
          <w:rFonts w:hint="eastAsia" w:ascii="宋体" w:hAnsi="宋体" w:eastAsia="宋体" w:cs="宋体"/>
          <w:kern w:val="0"/>
          <w:sz w:val="21"/>
          <w:szCs w:val="21"/>
        </w:rPr>
        <w:t>合同总价</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大写</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人民币</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元</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w:t>
      </w:r>
      <w:r>
        <w:rPr>
          <w:rFonts w:hint="eastAsia" w:ascii="宋体" w:hAnsi="宋体" w:eastAsia="宋体" w:cs="宋体"/>
          <w:kern w:val="0"/>
          <w:sz w:val="21"/>
          <w:szCs w:val="21"/>
          <w:highlight w:val="none"/>
        </w:rPr>
        <w:t>包括但不限于设备费、包装运输费</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调试费、</w:t>
      </w:r>
      <w:r>
        <w:rPr>
          <w:rFonts w:hint="eastAsia" w:ascii="宋体" w:hAnsi="宋体" w:eastAsia="宋体" w:cs="宋体"/>
          <w:kern w:val="0"/>
          <w:sz w:val="21"/>
          <w:szCs w:val="21"/>
          <w:highlight w:val="none"/>
          <w:lang w:val="en-US" w:eastAsia="zh-CN"/>
        </w:rPr>
        <w:t>装卸费、</w:t>
      </w:r>
      <w:r>
        <w:rPr>
          <w:rFonts w:hint="eastAsia" w:ascii="宋体" w:hAnsi="宋体" w:eastAsia="宋体" w:cs="宋体"/>
          <w:kern w:val="0"/>
          <w:sz w:val="21"/>
          <w:szCs w:val="21"/>
          <w:highlight w:val="none"/>
        </w:rPr>
        <w:t>培训费、人工费、维护费、材料费、管理费、税金、招标文件明示及暗示所有风险等所有费用，项目实施期内</w:t>
      </w:r>
      <w:r>
        <w:rPr>
          <w:rFonts w:hint="eastAsia" w:ascii="宋体" w:hAnsi="宋体" w:eastAsia="宋体" w:cs="宋体"/>
          <w:kern w:val="0"/>
          <w:sz w:val="21"/>
          <w:szCs w:val="21"/>
          <w:highlight w:val="none"/>
          <w:lang w:val="en-US" w:eastAsia="zh-CN"/>
        </w:rPr>
        <w:t>甲方</w:t>
      </w:r>
      <w:r>
        <w:rPr>
          <w:rFonts w:hint="eastAsia" w:ascii="宋体" w:hAnsi="宋体" w:eastAsia="宋体" w:cs="宋体"/>
          <w:kern w:val="0"/>
          <w:sz w:val="21"/>
          <w:szCs w:val="21"/>
          <w:highlight w:val="none"/>
        </w:rPr>
        <w:t>不再增加任何费用。</w:t>
      </w:r>
    </w:p>
    <w:tbl>
      <w:tblPr>
        <w:tblStyle w:val="27"/>
        <w:tblW w:w="4976" w:type="pct"/>
        <w:jc w:val="center"/>
        <w:tblLayout w:type="autofit"/>
        <w:tblCellMar>
          <w:top w:w="0" w:type="dxa"/>
          <w:left w:w="0" w:type="dxa"/>
          <w:bottom w:w="0" w:type="dxa"/>
          <w:right w:w="0" w:type="dxa"/>
        </w:tblCellMar>
      </w:tblPr>
      <w:tblGrid>
        <w:gridCol w:w="1435"/>
        <w:gridCol w:w="2883"/>
        <w:gridCol w:w="1971"/>
        <w:gridCol w:w="749"/>
        <w:gridCol w:w="856"/>
        <w:gridCol w:w="1151"/>
      </w:tblGrid>
      <w:tr w14:paraId="49001275">
        <w:tblPrEx>
          <w:tblCellMar>
            <w:top w:w="0" w:type="dxa"/>
            <w:left w:w="0" w:type="dxa"/>
            <w:bottom w:w="0" w:type="dxa"/>
            <w:right w:w="0" w:type="dxa"/>
          </w:tblCellMar>
        </w:tblPrEx>
        <w:trPr>
          <w:trHeight w:val="535" w:hRule="atLeast"/>
          <w:jc w:val="center"/>
        </w:trPr>
        <w:tc>
          <w:tcPr>
            <w:tcW w:w="7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C8F32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kern w:val="0"/>
                <w:sz w:val="21"/>
                <w:szCs w:val="21"/>
                <w:lang w:val="en-US" w:eastAsia="zh-CN" w:bidi="ar"/>
              </w:rPr>
            </w:pPr>
            <w:r>
              <w:rPr>
                <w:rFonts w:hint="eastAsia" w:ascii="宋体" w:hAnsi="宋体" w:eastAsia="宋体" w:cs="宋体"/>
                <w:b w:val="0"/>
                <w:bCs w:val="0"/>
                <w:kern w:val="0"/>
                <w:sz w:val="21"/>
                <w:szCs w:val="21"/>
                <w:lang w:val="en-US" w:eastAsia="zh-CN" w:bidi="ar"/>
              </w:rPr>
              <w:t>设备名称</w:t>
            </w:r>
          </w:p>
        </w:tc>
        <w:tc>
          <w:tcPr>
            <w:tcW w:w="15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2333B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r>
              <w:rPr>
                <w:rFonts w:hint="eastAsia" w:ascii="宋体" w:hAnsi="宋体" w:eastAsia="宋体" w:cs="宋体"/>
                <w:b w:val="0"/>
                <w:bCs w:val="0"/>
                <w:kern w:val="0"/>
                <w:sz w:val="21"/>
                <w:szCs w:val="21"/>
                <w:lang w:val="en-US" w:eastAsia="zh-CN" w:bidi="ar"/>
              </w:rPr>
              <w:t>品牌</w:t>
            </w:r>
            <w:r>
              <w:rPr>
                <w:rFonts w:hint="eastAsia" w:ascii="宋体" w:hAnsi="宋体" w:eastAsia="宋体" w:cs="宋体"/>
                <w:b w:val="0"/>
                <w:bCs w:val="0"/>
                <w:kern w:val="0"/>
                <w:sz w:val="21"/>
                <w:szCs w:val="21"/>
                <w:lang w:bidi="ar"/>
              </w:rPr>
              <w:t>、型号、配置</w:t>
            </w:r>
          </w:p>
        </w:tc>
        <w:tc>
          <w:tcPr>
            <w:tcW w:w="1089"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576C9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r>
              <w:rPr>
                <w:rFonts w:hint="eastAsia" w:ascii="宋体" w:hAnsi="宋体" w:eastAsia="宋体" w:cs="宋体"/>
                <w:b w:val="0"/>
                <w:bCs w:val="0"/>
                <w:kern w:val="0"/>
                <w:sz w:val="21"/>
                <w:szCs w:val="21"/>
                <w:lang w:bidi="ar"/>
              </w:rPr>
              <w:t>产品单价（元）</w:t>
            </w:r>
          </w:p>
        </w:tc>
        <w:tc>
          <w:tcPr>
            <w:tcW w:w="414"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2C764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r>
              <w:rPr>
                <w:rFonts w:hint="eastAsia" w:ascii="宋体" w:hAnsi="宋体" w:eastAsia="宋体" w:cs="宋体"/>
                <w:b w:val="0"/>
                <w:bCs w:val="0"/>
                <w:kern w:val="0"/>
                <w:sz w:val="21"/>
                <w:szCs w:val="21"/>
                <w:lang w:bidi="ar"/>
              </w:rPr>
              <w:t>单位</w:t>
            </w:r>
          </w:p>
        </w:tc>
        <w:tc>
          <w:tcPr>
            <w:tcW w:w="473" w:type="pct"/>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52C42E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r>
              <w:rPr>
                <w:rFonts w:hint="eastAsia" w:ascii="宋体" w:hAnsi="宋体" w:eastAsia="宋体" w:cs="宋体"/>
                <w:b w:val="0"/>
                <w:bCs w:val="0"/>
                <w:kern w:val="0"/>
                <w:sz w:val="21"/>
                <w:szCs w:val="21"/>
                <w:lang w:bidi="ar"/>
              </w:rPr>
              <w:t>数量</w:t>
            </w:r>
          </w:p>
        </w:tc>
        <w:tc>
          <w:tcPr>
            <w:tcW w:w="636" w:type="pct"/>
            <w:tcBorders>
              <w:top w:val="single" w:color="000000" w:sz="4" w:space="0"/>
              <w:left w:val="single" w:color="auto" w:sz="4" w:space="0"/>
              <w:bottom w:val="single" w:color="000000" w:sz="4" w:space="0"/>
              <w:right w:val="single" w:color="000000" w:sz="4" w:space="0"/>
            </w:tcBorders>
            <w:noWrap w:val="0"/>
            <w:vAlign w:val="center"/>
          </w:tcPr>
          <w:p w14:paraId="274755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r>
              <w:rPr>
                <w:rFonts w:hint="eastAsia" w:ascii="宋体" w:hAnsi="宋体" w:eastAsia="宋体" w:cs="宋体"/>
                <w:b w:val="0"/>
                <w:bCs w:val="0"/>
                <w:kern w:val="0"/>
                <w:sz w:val="21"/>
                <w:szCs w:val="21"/>
                <w:lang w:bidi="ar"/>
              </w:rPr>
              <w:t>合计（元）</w:t>
            </w:r>
          </w:p>
        </w:tc>
      </w:tr>
      <w:tr w14:paraId="09C3E11A">
        <w:tblPrEx>
          <w:tblCellMar>
            <w:top w:w="0" w:type="dxa"/>
            <w:left w:w="0" w:type="dxa"/>
            <w:bottom w:w="0" w:type="dxa"/>
            <w:right w:w="0" w:type="dxa"/>
          </w:tblCellMar>
        </w:tblPrEx>
        <w:trPr>
          <w:trHeight w:val="366" w:hRule="atLeast"/>
          <w:jc w:val="center"/>
        </w:trPr>
        <w:tc>
          <w:tcPr>
            <w:tcW w:w="7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ADA4A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5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4DD507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089"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CA465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p>
        </w:tc>
        <w:tc>
          <w:tcPr>
            <w:tcW w:w="414"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EB357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473" w:type="pct"/>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3C929A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636" w:type="pct"/>
            <w:tcBorders>
              <w:top w:val="single" w:color="000000" w:sz="4" w:space="0"/>
              <w:left w:val="single" w:color="auto" w:sz="4" w:space="0"/>
              <w:bottom w:val="single" w:color="000000" w:sz="4" w:space="0"/>
              <w:right w:val="single" w:color="000000" w:sz="4" w:space="0"/>
            </w:tcBorders>
            <w:noWrap w:val="0"/>
            <w:vAlign w:val="center"/>
          </w:tcPr>
          <w:p w14:paraId="12C6AF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r>
      <w:tr w14:paraId="002AA186">
        <w:tblPrEx>
          <w:tblCellMar>
            <w:top w:w="0" w:type="dxa"/>
            <w:left w:w="0" w:type="dxa"/>
            <w:bottom w:w="0" w:type="dxa"/>
            <w:right w:w="0" w:type="dxa"/>
          </w:tblCellMar>
        </w:tblPrEx>
        <w:trPr>
          <w:trHeight w:val="433" w:hRule="atLeast"/>
          <w:jc w:val="center"/>
        </w:trPr>
        <w:tc>
          <w:tcPr>
            <w:tcW w:w="7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0D6B6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5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E11C78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089"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CF32A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p>
        </w:tc>
        <w:tc>
          <w:tcPr>
            <w:tcW w:w="414"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C3724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473" w:type="pct"/>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49C6722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636" w:type="pct"/>
            <w:tcBorders>
              <w:top w:val="single" w:color="000000" w:sz="4" w:space="0"/>
              <w:left w:val="single" w:color="auto" w:sz="4" w:space="0"/>
              <w:bottom w:val="single" w:color="000000" w:sz="4" w:space="0"/>
              <w:right w:val="single" w:color="000000" w:sz="4" w:space="0"/>
            </w:tcBorders>
            <w:noWrap w:val="0"/>
            <w:vAlign w:val="center"/>
          </w:tcPr>
          <w:p w14:paraId="041C8F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r>
      <w:tr w14:paraId="7CE3B068">
        <w:tblPrEx>
          <w:tblCellMar>
            <w:top w:w="0" w:type="dxa"/>
            <w:left w:w="0" w:type="dxa"/>
            <w:bottom w:w="0" w:type="dxa"/>
            <w:right w:w="0" w:type="dxa"/>
          </w:tblCellMar>
        </w:tblPrEx>
        <w:trPr>
          <w:trHeight w:val="416" w:hRule="atLeast"/>
          <w:jc w:val="center"/>
        </w:trPr>
        <w:tc>
          <w:tcPr>
            <w:tcW w:w="7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7A94F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5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392D1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089"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BCDDB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p>
        </w:tc>
        <w:tc>
          <w:tcPr>
            <w:tcW w:w="414"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A277DF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473" w:type="pct"/>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15DE56D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636" w:type="pct"/>
            <w:tcBorders>
              <w:top w:val="single" w:color="000000" w:sz="4" w:space="0"/>
              <w:left w:val="single" w:color="auto" w:sz="4" w:space="0"/>
              <w:bottom w:val="single" w:color="000000" w:sz="4" w:space="0"/>
              <w:right w:val="single" w:color="000000" w:sz="4" w:space="0"/>
            </w:tcBorders>
            <w:noWrap w:val="0"/>
            <w:vAlign w:val="center"/>
          </w:tcPr>
          <w:p w14:paraId="3B256C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r>
      <w:tr w14:paraId="40B2B4DE">
        <w:tblPrEx>
          <w:tblCellMar>
            <w:top w:w="0" w:type="dxa"/>
            <w:left w:w="0" w:type="dxa"/>
            <w:bottom w:w="0" w:type="dxa"/>
            <w:right w:w="0" w:type="dxa"/>
          </w:tblCellMar>
        </w:tblPrEx>
        <w:trPr>
          <w:trHeight w:val="393" w:hRule="atLeast"/>
          <w:jc w:val="center"/>
        </w:trPr>
        <w:tc>
          <w:tcPr>
            <w:tcW w:w="7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6B6EF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eastAsia="zh-CN"/>
              </w:rPr>
              <w:t>……</w:t>
            </w:r>
          </w:p>
        </w:tc>
        <w:tc>
          <w:tcPr>
            <w:tcW w:w="1593"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0CADB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1089"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372FF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kern w:val="0"/>
                <w:sz w:val="21"/>
                <w:szCs w:val="21"/>
                <w:lang w:bidi="ar"/>
              </w:rPr>
            </w:pPr>
          </w:p>
        </w:tc>
        <w:tc>
          <w:tcPr>
            <w:tcW w:w="414"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C0FB8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473" w:type="pct"/>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1E4FDA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c>
          <w:tcPr>
            <w:tcW w:w="636" w:type="pct"/>
            <w:tcBorders>
              <w:top w:val="single" w:color="000000" w:sz="4" w:space="0"/>
              <w:left w:val="single" w:color="auto" w:sz="4" w:space="0"/>
              <w:bottom w:val="single" w:color="000000" w:sz="4" w:space="0"/>
              <w:right w:val="single" w:color="000000" w:sz="4" w:space="0"/>
            </w:tcBorders>
            <w:noWrap w:val="0"/>
            <w:vAlign w:val="center"/>
          </w:tcPr>
          <w:p w14:paraId="24F07DB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rPr>
            </w:pPr>
          </w:p>
        </w:tc>
      </w:tr>
    </w:tbl>
    <w:p w14:paraId="76043143">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w:t>
      </w:r>
      <w:r>
        <w:rPr>
          <w:rFonts w:hint="eastAsia" w:ascii="宋体" w:hAnsi="宋体" w:eastAsia="宋体" w:cs="宋体"/>
          <w:kern w:val="0"/>
          <w:sz w:val="21"/>
          <w:szCs w:val="21"/>
        </w:rPr>
        <w:t>合同总价一次性包死，不受市场价格变化因素的影响。</w:t>
      </w:r>
    </w:p>
    <w:p w14:paraId="547BC26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b w:val="0"/>
          <w:bCs w:val="0"/>
          <w:kern w:val="0"/>
          <w:sz w:val="21"/>
          <w:szCs w:val="21"/>
          <w:highlight w:val="none"/>
          <w:lang w:eastAsia="zh-CN"/>
        </w:rPr>
      </w:pPr>
      <w:r>
        <w:rPr>
          <w:rFonts w:hint="eastAsia" w:ascii="宋体" w:hAnsi="宋体" w:eastAsia="宋体" w:cs="宋体"/>
          <w:kern w:val="0"/>
          <w:sz w:val="21"/>
          <w:szCs w:val="21"/>
          <w:highlight w:val="none"/>
          <w:lang w:val="en-US" w:eastAsia="zh-CN"/>
        </w:rPr>
        <w:t>3、</w:t>
      </w:r>
      <w:r>
        <w:rPr>
          <w:rFonts w:hint="eastAsia" w:ascii="宋体" w:hAnsi="宋体" w:eastAsia="宋体" w:cs="宋体"/>
          <w:kern w:val="0"/>
          <w:sz w:val="21"/>
          <w:szCs w:val="21"/>
          <w:highlight w:val="none"/>
        </w:rPr>
        <w:t>付款方式</w:t>
      </w:r>
      <w:r>
        <w:rPr>
          <w:rFonts w:hint="eastAsia" w:ascii="宋体" w:hAnsi="宋体" w:eastAsia="宋体" w:cs="宋体"/>
          <w:b/>
          <w:bCs/>
          <w:kern w:val="0"/>
          <w:sz w:val="21"/>
          <w:szCs w:val="21"/>
          <w:highlight w:val="none"/>
        </w:rPr>
        <w:t>：</w:t>
      </w:r>
      <w:r>
        <w:rPr>
          <w:rFonts w:hint="eastAsia" w:ascii="宋体" w:hAnsi="宋体" w:eastAsia="宋体" w:cs="宋体"/>
          <w:b w:val="0"/>
          <w:bCs w:val="0"/>
          <w:kern w:val="0"/>
          <w:sz w:val="21"/>
          <w:szCs w:val="21"/>
          <w:highlight w:val="none"/>
        </w:rPr>
        <w:t>供货完成、安装调试到位、采购人验收合格后支付合同总价款</w:t>
      </w:r>
      <w:r>
        <w:rPr>
          <w:rFonts w:hint="eastAsia" w:ascii="宋体" w:hAnsi="宋体" w:eastAsia="宋体" w:cs="宋体"/>
          <w:b w:val="0"/>
          <w:bCs w:val="0"/>
          <w:kern w:val="0"/>
          <w:sz w:val="21"/>
          <w:szCs w:val="21"/>
          <w:highlight w:val="none"/>
          <w:lang w:val="en-US" w:eastAsia="zh-CN"/>
        </w:rPr>
        <w:t>的</w:t>
      </w:r>
      <w:r>
        <w:rPr>
          <w:rFonts w:hint="eastAsia" w:ascii="宋体" w:hAnsi="宋体" w:eastAsia="宋体" w:cs="宋体"/>
          <w:b w:val="0"/>
          <w:bCs w:val="0"/>
          <w:kern w:val="0"/>
          <w:sz w:val="21"/>
          <w:szCs w:val="21"/>
          <w:highlight w:val="none"/>
        </w:rPr>
        <w:t>40%</w:t>
      </w:r>
      <w:r>
        <w:rPr>
          <w:rFonts w:hint="eastAsia" w:ascii="宋体" w:hAnsi="宋体" w:eastAsia="宋体" w:cs="宋体"/>
          <w:b w:val="0"/>
          <w:bCs w:val="0"/>
          <w:kern w:val="0"/>
          <w:sz w:val="21"/>
          <w:szCs w:val="21"/>
          <w:highlight w:val="none"/>
          <w:lang w:eastAsia="zh-CN"/>
        </w:rPr>
        <w:t>；</w:t>
      </w:r>
      <w:r>
        <w:rPr>
          <w:rFonts w:hint="eastAsia" w:ascii="宋体" w:hAnsi="宋体" w:eastAsia="宋体" w:cs="宋体"/>
          <w:b w:val="0"/>
          <w:bCs w:val="0"/>
          <w:kern w:val="0"/>
          <w:sz w:val="21"/>
          <w:szCs w:val="21"/>
          <w:highlight w:val="none"/>
        </w:rPr>
        <w:t>投入正常使用且无争议问题后，一年内支付剩余</w:t>
      </w:r>
      <w:r>
        <w:rPr>
          <w:rFonts w:hint="eastAsia" w:ascii="宋体" w:hAnsi="宋体" w:eastAsia="宋体" w:cs="宋体"/>
          <w:b w:val="0"/>
          <w:bCs w:val="0"/>
          <w:kern w:val="0"/>
          <w:sz w:val="21"/>
          <w:szCs w:val="21"/>
          <w:highlight w:val="none"/>
          <w:lang w:val="en-US" w:eastAsia="zh-CN"/>
        </w:rPr>
        <w:t>合同</w:t>
      </w:r>
      <w:r>
        <w:rPr>
          <w:rFonts w:hint="eastAsia" w:ascii="宋体" w:hAnsi="宋体" w:eastAsia="宋体" w:cs="宋体"/>
          <w:b w:val="0"/>
          <w:bCs w:val="0"/>
          <w:kern w:val="0"/>
          <w:sz w:val="21"/>
          <w:szCs w:val="21"/>
          <w:highlight w:val="none"/>
        </w:rPr>
        <w:t>价款</w:t>
      </w:r>
      <w:r>
        <w:rPr>
          <w:rFonts w:hint="eastAsia" w:ascii="宋体" w:hAnsi="宋体" w:eastAsia="宋体" w:cs="宋体"/>
          <w:b w:val="0"/>
          <w:bCs w:val="0"/>
          <w:kern w:val="0"/>
          <w:sz w:val="21"/>
          <w:szCs w:val="21"/>
          <w:highlight w:val="none"/>
          <w:lang w:eastAsia="zh-CN"/>
        </w:rPr>
        <w:t>。</w:t>
      </w:r>
    </w:p>
    <w:p w14:paraId="5B7344E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支付方式：银行转账。</w:t>
      </w:r>
    </w:p>
    <w:p w14:paraId="7D087FE3">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结算方式：</w:t>
      </w:r>
      <w:r>
        <w:rPr>
          <w:rFonts w:hint="eastAsia" w:ascii="宋体" w:hAnsi="宋体" w:eastAsia="宋体" w:cs="宋体"/>
          <w:kern w:val="0"/>
          <w:sz w:val="21"/>
          <w:szCs w:val="21"/>
          <w:highlight w:val="none"/>
          <w:lang w:val="en-US" w:eastAsia="zh-CN"/>
        </w:rPr>
        <w:t>验收合格后填写政府采购项目验收单（一式伍份），乙方持中标通知书、政府采购合同书、正式发票、政府采购项目验收单，与甲方结算。</w:t>
      </w:r>
    </w:p>
    <w:p w14:paraId="6487A22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6、乙方账户信息：</w:t>
      </w:r>
    </w:p>
    <w:p w14:paraId="7E387459">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default" w:ascii="宋体" w:hAnsi="宋体" w:eastAsia="宋体" w:cs="宋体"/>
          <w:kern w:val="0"/>
          <w:sz w:val="21"/>
          <w:szCs w:val="21"/>
          <w:u w:val="single"/>
          <w:lang w:val="en-US" w:eastAsia="zh-CN"/>
        </w:rPr>
      </w:pPr>
      <w:r>
        <w:rPr>
          <w:rFonts w:hint="eastAsia" w:ascii="宋体" w:hAnsi="宋体" w:eastAsia="宋体" w:cs="宋体"/>
          <w:kern w:val="0"/>
          <w:sz w:val="21"/>
          <w:szCs w:val="21"/>
          <w:lang w:val="en-US" w:eastAsia="zh-CN"/>
        </w:rPr>
        <w:t>户    名</w:t>
      </w:r>
      <w:r>
        <w:rPr>
          <w:rFonts w:hint="default" w:ascii="宋体" w:hAnsi="宋体" w:eastAsia="宋体" w:cs="宋体"/>
          <w:kern w:val="0"/>
          <w:sz w:val="21"/>
          <w:szCs w:val="21"/>
          <w:lang w:val="en-US" w:eastAsia="zh-CN"/>
        </w:rPr>
        <w:t>：</w:t>
      </w:r>
      <w:r>
        <w:rPr>
          <w:rFonts w:hint="eastAsia" w:ascii="宋体" w:hAnsi="宋体" w:eastAsia="宋体" w:cs="宋体"/>
          <w:kern w:val="0"/>
          <w:sz w:val="21"/>
          <w:szCs w:val="21"/>
          <w:u w:val="single"/>
          <w:lang w:val="en-US" w:eastAsia="zh-CN"/>
        </w:rPr>
        <w:t xml:space="preserve">                     </w:t>
      </w:r>
    </w:p>
    <w:p w14:paraId="04DF84B4">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default" w:ascii="宋体" w:hAnsi="宋体" w:eastAsia="宋体" w:cs="宋体"/>
          <w:kern w:val="0"/>
          <w:sz w:val="21"/>
          <w:szCs w:val="21"/>
          <w:lang w:val="en-US" w:eastAsia="zh-CN"/>
        </w:rPr>
      </w:pPr>
      <w:r>
        <w:rPr>
          <w:rFonts w:hint="default" w:ascii="宋体" w:hAnsi="宋体" w:eastAsia="宋体" w:cs="宋体"/>
          <w:kern w:val="0"/>
          <w:sz w:val="21"/>
          <w:szCs w:val="21"/>
          <w:lang w:val="en-US" w:eastAsia="zh-CN"/>
        </w:rPr>
        <w:t>开</w:t>
      </w:r>
      <w:r>
        <w:rPr>
          <w:rFonts w:hint="eastAsia" w:ascii="宋体" w:hAnsi="宋体" w:eastAsia="宋体" w:cs="宋体"/>
          <w:kern w:val="0"/>
          <w:sz w:val="21"/>
          <w:szCs w:val="21"/>
          <w:lang w:val="en-US" w:eastAsia="zh-CN"/>
        </w:rPr>
        <w:t xml:space="preserve"> </w:t>
      </w:r>
      <w:r>
        <w:rPr>
          <w:rFonts w:hint="default" w:ascii="宋体" w:hAnsi="宋体" w:eastAsia="宋体" w:cs="宋体"/>
          <w:kern w:val="0"/>
          <w:sz w:val="21"/>
          <w:szCs w:val="21"/>
          <w:lang w:val="en-US" w:eastAsia="zh-CN"/>
        </w:rPr>
        <w:t>户</w:t>
      </w:r>
      <w:r>
        <w:rPr>
          <w:rFonts w:hint="eastAsia" w:ascii="宋体" w:hAnsi="宋体" w:eastAsia="宋体" w:cs="宋体"/>
          <w:kern w:val="0"/>
          <w:sz w:val="21"/>
          <w:szCs w:val="21"/>
          <w:lang w:val="en-US" w:eastAsia="zh-CN"/>
        </w:rPr>
        <w:t xml:space="preserve"> </w:t>
      </w:r>
      <w:r>
        <w:rPr>
          <w:rFonts w:hint="default" w:ascii="宋体" w:hAnsi="宋体" w:eastAsia="宋体" w:cs="宋体"/>
          <w:kern w:val="0"/>
          <w:sz w:val="21"/>
          <w:szCs w:val="21"/>
          <w:lang w:val="en-US" w:eastAsia="zh-CN"/>
        </w:rPr>
        <w:t>行：</w:t>
      </w:r>
      <w:r>
        <w:rPr>
          <w:rFonts w:hint="eastAsia" w:ascii="宋体" w:hAnsi="宋体" w:eastAsia="宋体" w:cs="宋体"/>
          <w:kern w:val="0"/>
          <w:sz w:val="21"/>
          <w:szCs w:val="21"/>
          <w:u w:val="single"/>
          <w:lang w:val="en-US" w:eastAsia="zh-CN"/>
        </w:rPr>
        <w:t xml:space="preserve">                     </w:t>
      </w:r>
    </w:p>
    <w:p w14:paraId="32857E6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default" w:ascii="宋体" w:hAnsi="宋体" w:eastAsia="宋体" w:cs="宋体"/>
          <w:kern w:val="0"/>
          <w:sz w:val="21"/>
          <w:szCs w:val="21"/>
          <w:lang w:val="en-US" w:eastAsia="zh-CN"/>
        </w:rPr>
      </w:pPr>
      <w:r>
        <w:rPr>
          <w:rFonts w:hint="default" w:ascii="宋体" w:hAnsi="宋体" w:eastAsia="宋体" w:cs="宋体"/>
          <w:kern w:val="0"/>
          <w:sz w:val="21"/>
          <w:szCs w:val="21"/>
          <w:lang w:val="en-US" w:eastAsia="zh-CN"/>
        </w:rPr>
        <w:t>银行账号：</w:t>
      </w:r>
      <w:r>
        <w:rPr>
          <w:rFonts w:hint="eastAsia" w:ascii="宋体" w:hAnsi="宋体" w:eastAsia="宋体" w:cs="宋体"/>
          <w:kern w:val="0"/>
          <w:sz w:val="21"/>
          <w:szCs w:val="21"/>
          <w:u w:val="single"/>
          <w:lang w:val="en-US" w:eastAsia="zh-CN"/>
        </w:rPr>
        <w:t xml:space="preserve">                     </w:t>
      </w:r>
    </w:p>
    <w:p w14:paraId="2CDF4962">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highlight w:val="none"/>
          <w:lang w:eastAsia="zh-CN"/>
        </w:rPr>
      </w:pPr>
      <w:r>
        <w:rPr>
          <w:rFonts w:hint="eastAsia" w:ascii="宋体" w:hAnsi="宋体" w:eastAsia="宋体" w:cs="宋体"/>
          <w:b/>
          <w:bCs/>
          <w:kern w:val="0"/>
          <w:sz w:val="21"/>
          <w:szCs w:val="21"/>
          <w:highlight w:val="none"/>
        </w:rPr>
        <w:t>四、质量保证</w:t>
      </w:r>
      <w:r>
        <w:rPr>
          <w:rFonts w:hint="eastAsia" w:ascii="宋体" w:hAnsi="宋体" w:eastAsia="宋体" w:cs="宋体"/>
          <w:b/>
          <w:bCs/>
          <w:kern w:val="0"/>
          <w:sz w:val="21"/>
          <w:szCs w:val="21"/>
          <w:highlight w:val="none"/>
          <w:lang w:eastAsia="zh-CN"/>
        </w:rPr>
        <w:t>：</w:t>
      </w:r>
    </w:p>
    <w:p w14:paraId="1560B71C">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b w:val="0"/>
          <w:bCs/>
          <w:kern w:val="0"/>
          <w:sz w:val="21"/>
          <w:szCs w:val="21"/>
          <w:highlight w:val="none"/>
        </w:rPr>
        <w:t>1、</w:t>
      </w:r>
      <w:r>
        <w:rPr>
          <w:rFonts w:hint="eastAsia" w:ascii="宋体" w:hAnsi="宋体" w:eastAsia="宋体" w:cs="宋体"/>
          <w:b w:val="0"/>
          <w:bCs/>
          <w:kern w:val="0"/>
          <w:sz w:val="21"/>
          <w:szCs w:val="21"/>
          <w:highlight w:val="none"/>
          <w:lang w:eastAsia="zh-CN"/>
        </w:rPr>
        <w:t>质保期：</w:t>
      </w:r>
      <w:r>
        <w:rPr>
          <w:rFonts w:hint="eastAsia" w:ascii="宋体" w:hAnsi="宋体" w:eastAsia="宋体" w:cs="宋体"/>
          <w:b w:val="0"/>
          <w:bCs/>
          <w:kern w:val="0"/>
          <w:sz w:val="21"/>
          <w:szCs w:val="21"/>
          <w:highlight w:val="none"/>
          <w:u w:val="single"/>
        </w:rPr>
        <w:t xml:space="preserve">  </w:t>
      </w:r>
      <w:r>
        <w:rPr>
          <w:rFonts w:hint="eastAsia" w:ascii="宋体" w:hAnsi="宋体" w:eastAsia="宋体" w:cs="宋体"/>
          <w:b w:val="0"/>
          <w:bCs/>
          <w:kern w:val="0"/>
          <w:sz w:val="21"/>
          <w:szCs w:val="21"/>
          <w:highlight w:val="none"/>
          <w:u w:val="single"/>
          <w:lang w:val="en-US" w:eastAsia="zh-CN"/>
        </w:rPr>
        <w:t xml:space="preserve">                  </w:t>
      </w:r>
    </w:p>
    <w:p w14:paraId="6ACF81ED">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2、</w:t>
      </w:r>
      <w:r>
        <w:rPr>
          <w:rFonts w:hint="eastAsia" w:ascii="宋体" w:hAnsi="宋体" w:eastAsia="宋体" w:cs="宋体"/>
          <w:kern w:val="0"/>
          <w:sz w:val="21"/>
          <w:szCs w:val="21"/>
        </w:rPr>
        <w:t>乙方须提供全新的、未使用过的合格</w:t>
      </w:r>
      <w:r>
        <w:rPr>
          <w:rFonts w:hint="eastAsia" w:ascii="宋体" w:hAnsi="宋体" w:eastAsia="宋体" w:cs="宋体"/>
          <w:kern w:val="0"/>
          <w:sz w:val="21"/>
          <w:szCs w:val="21"/>
          <w:lang w:val="en-US" w:eastAsia="zh-CN"/>
        </w:rPr>
        <w:t>原厂</w:t>
      </w:r>
      <w:r>
        <w:rPr>
          <w:rFonts w:hint="eastAsia" w:ascii="宋体" w:hAnsi="宋体" w:eastAsia="宋体" w:cs="宋体"/>
          <w:kern w:val="0"/>
          <w:sz w:val="21"/>
          <w:szCs w:val="21"/>
        </w:rPr>
        <w:t>正品货物（含零部件、配件等），</w:t>
      </w:r>
      <w:r>
        <w:rPr>
          <w:rFonts w:hint="eastAsia" w:ascii="宋体" w:hAnsi="宋体" w:eastAsia="宋体" w:cs="宋体"/>
          <w:kern w:val="0"/>
          <w:sz w:val="21"/>
          <w:szCs w:val="21"/>
          <w:lang w:val="en-US" w:eastAsia="zh-CN"/>
        </w:rPr>
        <w:t>保证质量可靠，进货渠道正常，配置合理齐全，所供产品</w:t>
      </w:r>
      <w:r>
        <w:rPr>
          <w:rFonts w:hint="eastAsia" w:ascii="宋体" w:hAnsi="宋体" w:eastAsia="宋体" w:cs="宋体"/>
          <w:kern w:val="0"/>
          <w:sz w:val="21"/>
          <w:szCs w:val="21"/>
        </w:rPr>
        <w:t>完全符合</w:t>
      </w:r>
      <w:r>
        <w:rPr>
          <w:rFonts w:hint="eastAsia" w:ascii="宋体" w:hAnsi="宋体" w:eastAsia="宋体" w:cs="宋体"/>
          <w:kern w:val="0"/>
          <w:sz w:val="21"/>
          <w:szCs w:val="21"/>
          <w:lang w:val="en-US" w:eastAsia="zh-CN"/>
        </w:rPr>
        <w:t>招标及</w:t>
      </w:r>
      <w:r>
        <w:rPr>
          <w:rFonts w:hint="eastAsia" w:ascii="宋体" w:hAnsi="宋体" w:eastAsia="宋体" w:cs="宋体"/>
          <w:kern w:val="0"/>
          <w:sz w:val="21"/>
          <w:szCs w:val="21"/>
        </w:rPr>
        <w:t>合同规定的质量、规格和性能的要求。</w:t>
      </w:r>
    </w:p>
    <w:p w14:paraId="5719553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质量标准按照最新颁布的国家标准、行业标准或制造厂家企业标准确定，上述标准不一致的，以严格标准为准。</w:t>
      </w:r>
    </w:p>
    <w:p w14:paraId="53727FE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质保期内，</w:t>
      </w:r>
      <w:r>
        <w:rPr>
          <w:rFonts w:hint="eastAsia" w:ascii="宋体" w:hAnsi="宋体" w:eastAsia="宋体" w:cs="宋体"/>
          <w:kern w:val="0"/>
          <w:sz w:val="21"/>
          <w:szCs w:val="21"/>
        </w:rPr>
        <w:t>由于货物设计缺陷或货物本身的质量问题，乙方应负责三包（包修、包换、包退），费用由乙方负担，甲方有权到乙方生产场地检查货物质量和生产进度。</w:t>
      </w:r>
      <w:r>
        <w:rPr>
          <w:rFonts w:hint="eastAsia" w:ascii="宋体" w:hAnsi="宋体" w:eastAsia="宋体" w:cs="宋体"/>
          <w:kern w:val="0"/>
          <w:sz w:val="21"/>
          <w:szCs w:val="21"/>
          <w:highlight w:val="none"/>
        </w:rPr>
        <w:t>质保期后如需更换零部件，</w:t>
      </w:r>
      <w:r>
        <w:rPr>
          <w:rFonts w:hint="eastAsia" w:ascii="宋体" w:hAnsi="宋体" w:eastAsia="宋体" w:cs="宋体"/>
          <w:kern w:val="0"/>
          <w:sz w:val="21"/>
          <w:szCs w:val="21"/>
          <w:highlight w:val="none"/>
          <w:lang w:val="en-US" w:eastAsia="zh-CN"/>
        </w:rPr>
        <w:t>乙方</w:t>
      </w:r>
      <w:r>
        <w:rPr>
          <w:rFonts w:hint="eastAsia" w:ascii="宋体" w:hAnsi="宋体" w:eastAsia="宋体" w:cs="宋体"/>
          <w:kern w:val="0"/>
          <w:sz w:val="21"/>
          <w:szCs w:val="21"/>
          <w:highlight w:val="none"/>
        </w:rPr>
        <w:t>应以优惠价提供。</w:t>
      </w:r>
    </w:p>
    <w:p w14:paraId="24E7047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5、质保期内，</w:t>
      </w:r>
      <w:r>
        <w:rPr>
          <w:rFonts w:hint="eastAsia" w:ascii="宋体" w:hAnsi="宋体" w:eastAsia="宋体" w:cs="宋体"/>
          <w:kern w:val="0"/>
          <w:sz w:val="21"/>
          <w:szCs w:val="21"/>
          <w:lang w:val="en-US" w:eastAsia="zh-CN"/>
        </w:rPr>
        <w:t>如</w:t>
      </w:r>
      <w:r>
        <w:rPr>
          <w:rFonts w:hint="eastAsia" w:ascii="宋体" w:hAnsi="宋体" w:eastAsia="宋体" w:cs="宋体"/>
          <w:kern w:val="0"/>
          <w:sz w:val="21"/>
          <w:szCs w:val="21"/>
          <w:lang w:val="en-US" w:eastAsia="zh-CN"/>
        </w:rPr>
        <w:t>乙方无法达到上述要求，由此对甲方造成的延误和一切损失，由乙方负责。</w:t>
      </w:r>
    </w:p>
    <w:p w14:paraId="449988EE">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6、乙方未按</w:t>
      </w:r>
      <w:r>
        <w:rPr>
          <w:rFonts w:hint="eastAsia" w:ascii="宋体" w:hAnsi="宋体" w:eastAsia="宋体" w:cs="宋体"/>
          <w:kern w:val="0"/>
          <w:sz w:val="21"/>
          <w:szCs w:val="21"/>
          <w:lang w:val="en-US" w:eastAsia="zh-CN"/>
        </w:rPr>
        <w:t>招标及</w:t>
      </w:r>
      <w:r>
        <w:rPr>
          <w:rFonts w:hint="eastAsia" w:ascii="宋体" w:hAnsi="宋体" w:eastAsia="宋体" w:cs="宋体"/>
          <w:kern w:val="0"/>
          <w:sz w:val="21"/>
          <w:szCs w:val="21"/>
          <w:lang w:val="en-US" w:eastAsia="zh-CN"/>
        </w:rPr>
        <w:t>合同要求提供产品或货物质量不能满足技术要求，甲方有权终止合同，并对乙方违约行为进行追究追责。</w:t>
      </w:r>
    </w:p>
    <w:p w14:paraId="107AFEB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五、包装和储运</w:t>
      </w:r>
    </w:p>
    <w:p w14:paraId="03D705F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bCs/>
          <w:kern w:val="0"/>
          <w:sz w:val="21"/>
          <w:szCs w:val="21"/>
          <w:u w:val="single"/>
        </w:rPr>
      </w:pPr>
      <w:r>
        <w:rPr>
          <w:rFonts w:hint="eastAsia" w:ascii="宋体" w:hAnsi="宋体" w:eastAsia="宋体" w:cs="宋体"/>
          <w:bCs/>
          <w:kern w:val="0"/>
          <w:sz w:val="21"/>
          <w:szCs w:val="21"/>
          <w:lang w:val="en-US" w:eastAsia="zh-CN"/>
        </w:rPr>
        <w:t>1、</w:t>
      </w:r>
      <w:r>
        <w:rPr>
          <w:rFonts w:hint="eastAsia" w:ascii="宋体" w:hAnsi="宋体" w:eastAsia="宋体" w:cs="宋体"/>
          <w:bCs/>
          <w:kern w:val="0"/>
          <w:sz w:val="21"/>
          <w:szCs w:val="21"/>
        </w:rPr>
        <w:t>供货设备包装、运输：</w:t>
      </w:r>
      <w:r>
        <w:rPr>
          <w:rFonts w:hint="eastAsia" w:ascii="宋体" w:hAnsi="宋体" w:eastAsia="宋体" w:cs="宋体"/>
          <w:bCs/>
          <w:kern w:val="0"/>
          <w:sz w:val="21"/>
          <w:szCs w:val="21"/>
          <w:u w:val="none"/>
        </w:rPr>
        <w:t>乙方采用包装方式必须符合包装和运输的有关标准。包装应为制造商出厂时的原包装。乙方应确保在装、卸、运输和储存过程中有足够的包装保护，防止受潮、被腐蚀、受到冲撞以及其他不可预见的损坏，若设备在运输过程中发生损毁、损坏，所有损失都由乙方承担。</w:t>
      </w:r>
    </w:p>
    <w:p w14:paraId="7AF7C35D">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2、乙方应选择运输风险小、运费低、距离短的运输路线。运杂费一次性包死在总价内，包括现场所需的装卸、运输（含保险费）、现场保管费、二次倒运费、吊装费等费用。</w:t>
      </w:r>
    </w:p>
    <w:p w14:paraId="26C87972">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u w:val="none"/>
        </w:rPr>
      </w:pPr>
      <w:r>
        <w:rPr>
          <w:rFonts w:hint="eastAsia" w:ascii="宋体" w:hAnsi="宋体" w:eastAsia="宋体" w:cs="宋体"/>
          <w:b/>
          <w:bCs/>
          <w:kern w:val="0"/>
          <w:sz w:val="21"/>
          <w:szCs w:val="21"/>
          <w:u w:val="none"/>
        </w:rPr>
        <w:t>六、验收</w:t>
      </w:r>
    </w:p>
    <w:p w14:paraId="10B9654E">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1、质量标准：达到</w:t>
      </w:r>
      <w:r>
        <w:rPr>
          <w:rFonts w:hint="eastAsia" w:ascii="宋体" w:hAnsi="宋体" w:eastAsia="宋体" w:cs="宋体"/>
          <w:kern w:val="0"/>
          <w:sz w:val="21"/>
          <w:szCs w:val="21"/>
          <w:highlight w:val="none"/>
          <w:u w:val="single"/>
          <w:lang w:val="en-US" w:eastAsia="zh-CN"/>
        </w:rPr>
        <w:t xml:space="preserve"> 合格 </w:t>
      </w:r>
      <w:r>
        <w:rPr>
          <w:rFonts w:hint="eastAsia" w:ascii="宋体" w:hAnsi="宋体" w:eastAsia="宋体" w:cs="宋体"/>
          <w:kern w:val="0"/>
          <w:sz w:val="21"/>
          <w:szCs w:val="21"/>
          <w:highlight w:val="none"/>
          <w:lang w:val="en-US" w:eastAsia="zh-CN"/>
        </w:rPr>
        <w:t>标准。</w:t>
      </w:r>
    </w:p>
    <w:p w14:paraId="5A44B35D">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2、货物到达交货地点后，由甲方根据合同对货物的名称、品牌、规格、型号、产地、数量进行检查，合格后签发《终验合格单》。</w:t>
      </w:r>
    </w:p>
    <w:p w14:paraId="55ACA70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3、若验收不合格，须在接到通知后7日历天内确保货物更换完成，并通过验收；若接到通知后7日历天内验收仍不合格，甲方可提出索赔或解除合同。</w:t>
      </w:r>
    </w:p>
    <w:p w14:paraId="1A163543">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4、验收依据：合同文本及合同补充文件（条款）；产品的合法来源渠道证明文件、佐证材料；招标文件及中标人的投标文件；货物清单及执行标准等。</w:t>
      </w:r>
    </w:p>
    <w:p w14:paraId="2366A5D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七、售后服务</w:t>
      </w:r>
    </w:p>
    <w:p w14:paraId="2F4673E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rPr>
        <w:t>质保期内出现异常或故障，</w:t>
      </w:r>
      <w:r>
        <w:rPr>
          <w:rFonts w:hint="eastAsia" w:ascii="宋体" w:hAnsi="宋体" w:eastAsia="宋体" w:cs="宋体"/>
          <w:kern w:val="0"/>
          <w:sz w:val="21"/>
          <w:szCs w:val="21"/>
          <w:highlight w:val="none"/>
          <w:lang w:val="en-US" w:eastAsia="zh-CN"/>
        </w:rPr>
        <w:t>乙方</w:t>
      </w:r>
      <w:r>
        <w:rPr>
          <w:rFonts w:hint="eastAsia" w:ascii="宋体" w:hAnsi="宋体" w:eastAsia="宋体" w:cs="宋体"/>
          <w:kern w:val="0"/>
          <w:sz w:val="21"/>
          <w:szCs w:val="21"/>
          <w:highlight w:val="none"/>
        </w:rPr>
        <w:t>应在4小时内响应，24小时内到现场进行维修</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并将信息反馈</w:t>
      </w:r>
      <w:r>
        <w:rPr>
          <w:rFonts w:hint="eastAsia" w:ascii="宋体" w:hAnsi="宋体" w:eastAsia="宋体" w:cs="宋体"/>
          <w:kern w:val="0"/>
          <w:sz w:val="21"/>
          <w:szCs w:val="21"/>
          <w:highlight w:val="none"/>
          <w:lang w:val="en-US" w:eastAsia="zh-CN"/>
        </w:rPr>
        <w:t>甲方</w:t>
      </w:r>
      <w:r>
        <w:rPr>
          <w:rFonts w:hint="eastAsia" w:ascii="宋体" w:hAnsi="宋体" w:eastAsia="宋体" w:cs="宋体"/>
          <w:kern w:val="0"/>
          <w:sz w:val="21"/>
          <w:szCs w:val="21"/>
          <w:highlight w:val="none"/>
        </w:rPr>
        <w:t>。故障严重，不能及时解决时，应及时告知</w:t>
      </w:r>
      <w:r>
        <w:rPr>
          <w:rFonts w:hint="eastAsia" w:ascii="宋体" w:hAnsi="宋体" w:eastAsia="宋体" w:cs="宋体"/>
          <w:kern w:val="0"/>
          <w:sz w:val="21"/>
          <w:szCs w:val="21"/>
          <w:highlight w:val="none"/>
          <w:lang w:val="en-US" w:eastAsia="zh-CN"/>
        </w:rPr>
        <w:t>甲方</w:t>
      </w:r>
      <w:r>
        <w:rPr>
          <w:rFonts w:hint="eastAsia" w:ascii="宋体" w:hAnsi="宋体" w:eastAsia="宋体" w:cs="宋体"/>
          <w:kern w:val="0"/>
          <w:sz w:val="21"/>
          <w:szCs w:val="21"/>
          <w:highlight w:val="none"/>
        </w:rPr>
        <w:t>。如不能在24小时内排除故障，应更换备件，故障备件应及时修复，并做好相应的记录。如因自身技术能力不足无法修复，需委托货物生产厂商服务的，</w:t>
      </w:r>
      <w:r>
        <w:rPr>
          <w:rFonts w:hint="eastAsia" w:ascii="宋体" w:hAnsi="宋体" w:eastAsia="宋体" w:cs="宋体"/>
          <w:kern w:val="0"/>
          <w:sz w:val="21"/>
          <w:szCs w:val="21"/>
          <w:highlight w:val="none"/>
          <w:lang w:val="en-US" w:eastAsia="zh-CN"/>
        </w:rPr>
        <w:t>乙方</w:t>
      </w:r>
      <w:r>
        <w:rPr>
          <w:rFonts w:hint="eastAsia" w:ascii="宋体" w:hAnsi="宋体" w:eastAsia="宋体" w:cs="宋体"/>
          <w:kern w:val="0"/>
          <w:sz w:val="21"/>
          <w:szCs w:val="21"/>
          <w:highlight w:val="none"/>
        </w:rPr>
        <w:t>须负责相关费用。</w:t>
      </w:r>
    </w:p>
    <w:p w14:paraId="636A12C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yellow"/>
        </w:rPr>
      </w:pPr>
      <w:r>
        <w:rPr>
          <w:rFonts w:hint="eastAsia" w:ascii="宋体" w:hAnsi="宋体" w:eastAsia="宋体" w:cs="宋体"/>
          <w:kern w:val="0"/>
          <w:sz w:val="21"/>
          <w:szCs w:val="21"/>
          <w:highlight w:val="none"/>
          <w:lang w:val="en-US" w:eastAsia="zh-CN"/>
        </w:rPr>
        <w:t>2、调试及培训：乙方负责货物的调试、培训工作，乙方必须安排技术人员对甲方相关人员进行操作应用及维护保养方面的技能培训，使其掌握基本技能。</w:t>
      </w:r>
    </w:p>
    <w:p w14:paraId="4D2CCA9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八、技术与服务</w:t>
      </w:r>
    </w:p>
    <w:p w14:paraId="751395C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1、对技术服务的要求：</w:t>
      </w:r>
      <w:r>
        <w:rPr>
          <w:rFonts w:hint="eastAsia" w:ascii="宋体" w:hAnsi="宋体" w:eastAsia="宋体" w:cs="宋体"/>
          <w:kern w:val="0"/>
          <w:sz w:val="21"/>
          <w:szCs w:val="21"/>
          <w:highlight w:val="none"/>
          <w:lang w:val="en-US" w:eastAsia="zh-CN"/>
        </w:rPr>
        <w:t>乙方向甲方提供全方位的技术支持，在项目实施的各个阶段中，提供7*24小时的电话服务支持。</w:t>
      </w:r>
    </w:p>
    <w:p w14:paraId="1ED22AB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2、技术资料：</w:t>
      </w:r>
    </w:p>
    <w:p w14:paraId="41D84409">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产品合格证及检验报告；</w:t>
      </w:r>
    </w:p>
    <w:p w14:paraId="00E1FF6C">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产品使用说明书（中文）；</w:t>
      </w:r>
    </w:p>
    <w:p w14:paraId="07E2D9D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3</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其它资料。</w:t>
      </w:r>
    </w:p>
    <w:p w14:paraId="5A043E53">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3、伴随服务</w:t>
      </w:r>
    </w:p>
    <w:p w14:paraId="3F3DB88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乙方应随同货物提供相应的中文技术文件。</w:t>
      </w:r>
    </w:p>
    <w:p w14:paraId="2306D802">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a)</w:t>
      </w:r>
      <w:r>
        <w:rPr>
          <w:rFonts w:hint="eastAsia" w:ascii="宋体" w:hAnsi="宋体" w:eastAsia="宋体" w:cs="宋体"/>
          <w:kern w:val="0"/>
          <w:sz w:val="21"/>
          <w:szCs w:val="21"/>
          <w:highlight w:val="none"/>
        </w:rPr>
        <w:t>完整的操作使用手册和维护、修理技术文件，图纸、保修卡等。提供全套技术资料、维修手册含图纸，永久开放所有维修密码（并有厂家出具的保证书）；</w:t>
      </w:r>
    </w:p>
    <w:p w14:paraId="38E21B4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val="en-US" w:eastAsia="zh-CN"/>
        </w:rPr>
        <w:t>b)</w:t>
      </w:r>
      <w:r>
        <w:rPr>
          <w:rFonts w:hint="eastAsia" w:ascii="宋体" w:hAnsi="宋体" w:eastAsia="宋体" w:cs="宋体"/>
          <w:kern w:val="0"/>
          <w:sz w:val="21"/>
          <w:szCs w:val="21"/>
          <w:highlight w:val="none"/>
        </w:rPr>
        <w:t>制造厂的检验、测试报告、检验合格证书，计量合格等级证书，质量保证书等文件须随产品装箱提供</w:t>
      </w:r>
      <w:r>
        <w:rPr>
          <w:rFonts w:hint="eastAsia" w:ascii="宋体" w:hAnsi="宋体" w:eastAsia="宋体" w:cs="宋体"/>
          <w:kern w:val="0"/>
          <w:sz w:val="21"/>
          <w:szCs w:val="21"/>
          <w:highlight w:val="none"/>
          <w:lang w:eastAsia="zh-CN"/>
        </w:rPr>
        <w:t>；</w:t>
      </w:r>
    </w:p>
    <w:p w14:paraId="2A604F1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c）</w:t>
      </w:r>
      <w:r>
        <w:rPr>
          <w:rFonts w:hint="eastAsia" w:ascii="宋体" w:hAnsi="宋体" w:eastAsia="宋体" w:cs="宋体"/>
          <w:kern w:val="0"/>
          <w:sz w:val="21"/>
          <w:szCs w:val="21"/>
          <w:highlight w:val="none"/>
        </w:rPr>
        <w:t>必须的其它技术资料。</w:t>
      </w:r>
    </w:p>
    <w:p w14:paraId="061032E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伴随服务的费用已含在合同价中，不单独进行支付。</w:t>
      </w:r>
    </w:p>
    <w:p w14:paraId="6411793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4、</w:t>
      </w:r>
      <w:r>
        <w:rPr>
          <w:rFonts w:hint="eastAsia" w:ascii="宋体" w:hAnsi="宋体" w:eastAsia="宋体" w:cs="宋体"/>
          <w:kern w:val="0"/>
          <w:sz w:val="21"/>
          <w:szCs w:val="21"/>
          <w:highlight w:val="none"/>
        </w:rPr>
        <w:t>服务承诺</w:t>
      </w:r>
    </w:p>
    <w:p w14:paraId="6D0C0EB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以招标文件、投标文件、合同和随设备的相关文件为准。</w:t>
      </w:r>
    </w:p>
    <w:p w14:paraId="47E721F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九、权利和义务</w:t>
      </w:r>
    </w:p>
    <w:p w14:paraId="3D51FBB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rPr>
        <w:t>甲方权利及义务</w:t>
      </w:r>
    </w:p>
    <w:p w14:paraId="7C3A4B2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甲方根据</w:t>
      </w:r>
      <w:r>
        <w:rPr>
          <w:rFonts w:hint="eastAsia" w:ascii="宋体" w:hAnsi="宋体" w:eastAsia="宋体" w:cs="宋体"/>
          <w:kern w:val="0"/>
          <w:sz w:val="21"/>
          <w:szCs w:val="21"/>
          <w:highlight w:val="none"/>
          <w:lang w:val="en-US" w:eastAsia="zh-CN"/>
        </w:rPr>
        <w:t>合同约定</w:t>
      </w:r>
      <w:r>
        <w:rPr>
          <w:rFonts w:hint="eastAsia" w:ascii="宋体" w:hAnsi="宋体" w:eastAsia="宋体" w:cs="宋体"/>
          <w:kern w:val="0"/>
          <w:sz w:val="21"/>
          <w:szCs w:val="21"/>
          <w:highlight w:val="none"/>
        </w:rPr>
        <w:t>对设备进行验收。</w:t>
      </w:r>
    </w:p>
    <w:p w14:paraId="653E1DD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甲方应按合同约定及时结付费用。</w:t>
      </w:r>
    </w:p>
    <w:p w14:paraId="7658E0A4">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rPr>
        <w:t>乙方权利及义务</w:t>
      </w:r>
    </w:p>
    <w:p w14:paraId="430FBF2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乙方根据招</w:t>
      </w:r>
      <w:r>
        <w:rPr>
          <w:rFonts w:hint="eastAsia" w:ascii="宋体" w:hAnsi="宋体" w:eastAsia="宋体" w:cs="宋体"/>
          <w:kern w:val="0"/>
          <w:sz w:val="21"/>
          <w:szCs w:val="21"/>
          <w:highlight w:val="none"/>
          <w:lang w:val="en-US" w:eastAsia="zh-CN"/>
        </w:rPr>
        <w:t>投标文件及合同</w:t>
      </w:r>
      <w:r>
        <w:rPr>
          <w:rFonts w:hint="eastAsia" w:ascii="宋体" w:hAnsi="宋体" w:eastAsia="宋体" w:cs="宋体"/>
          <w:kern w:val="0"/>
          <w:sz w:val="21"/>
          <w:szCs w:val="21"/>
          <w:highlight w:val="none"/>
        </w:rPr>
        <w:t>要求，确保设备如期保质保量交付。</w:t>
      </w:r>
    </w:p>
    <w:p w14:paraId="47D2A66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乙方确保所供设备</w:t>
      </w:r>
      <w:r>
        <w:rPr>
          <w:rFonts w:hint="eastAsia" w:ascii="宋体" w:hAnsi="宋体" w:eastAsia="宋体" w:cs="宋体"/>
          <w:kern w:val="0"/>
          <w:sz w:val="21"/>
          <w:szCs w:val="21"/>
          <w:highlight w:val="none"/>
        </w:rPr>
        <w:t>包装完好、全新的</w:t>
      </w:r>
      <w:r>
        <w:rPr>
          <w:rFonts w:hint="eastAsia" w:ascii="宋体" w:hAnsi="宋体" w:eastAsia="宋体" w:cs="宋体"/>
          <w:kern w:val="0"/>
          <w:sz w:val="21"/>
          <w:szCs w:val="21"/>
          <w:highlight w:val="none"/>
          <w:lang w:val="en-US" w:eastAsia="zh-CN"/>
        </w:rPr>
        <w:t>原厂</w:t>
      </w:r>
      <w:r>
        <w:rPr>
          <w:rFonts w:hint="eastAsia" w:ascii="宋体" w:hAnsi="宋体" w:eastAsia="宋体" w:cs="宋体"/>
          <w:kern w:val="0"/>
          <w:sz w:val="21"/>
          <w:szCs w:val="21"/>
          <w:highlight w:val="none"/>
        </w:rPr>
        <w:t>合格产品</w:t>
      </w:r>
      <w:r>
        <w:rPr>
          <w:rFonts w:hint="eastAsia" w:ascii="宋体" w:hAnsi="宋体" w:eastAsia="宋体" w:cs="宋体"/>
          <w:kern w:val="0"/>
          <w:sz w:val="21"/>
          <w:szCs w:val="21"/>
          <w:highlight w:val="none"/>
        </w:rPr>
        <w:t>，不得使用积压耗材或维修件</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供货渠道正规、产地及制造商明确，产品销售记录可追溯，生产厂家授权及售后服务承诺完整。</w:t>
      </w:r>
    </w:p>
    <w:p w14:paraId="4E2E5CE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3</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rPr>
        <w:t>乙方应保证因供货不善而产生的所有风险，并自行承担由此导致的所有法律责任。</w:t>
      </w:r>
    </w:p>
    <w:p w14:paraId="692C3727">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十、争议的解决</w:t>
      </w:r>
    </w:p>
    <w:p w14:paraId="4A4C1FA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因本合同而引起的或与本合同有关的任何争议，双方应当友好协商解决。如协商未能达成一致时，按以下第</w:t>
      </w:r>
      <w:r>
        <w:rPr>
          <w:rFonts w:hint="eastAsia" w:ascii="宋体" w:hAnsi="宋体" w:eastAsia="宋体" w:cs="宋体"/>
          <w:kern w:val="0"/>
          <w:sz w:val="21"/>
          <w:szCs w:val="21"/>
          <w:highlight w:val="none"/>
          <w:u w:val="single"/>
          <w:lang w:eastAsia="zh-CN"/>
        </w:rPr>
        <w:t>（</w:t>
      </w:r>
      <w:r>
        <w:rPr>
          <w:rFonts w:hint="eastAsia" w:ascii="宋体" w:hAnsi="宋体" w:eastAsia="宋体" w:cs="宋体"/>
          <w:kern w:val="0"/>
          <w:sz w:val="21"/>
          <w:szCs w:val="21"/>
          <w:highlight w:val="none"/>
          <w:u w:val="single"/>
          <w:lang w:val="en-US" w:eastAsia="zh-CN"/>
        </w:rPr>
        <w:t>1</w:t>
      </w:r>
      <w:r>
        <w:rPr>
          <w:rFonts w:hint="eastAsia" w:ascii="宋体" w:hAnsi="宋体" w:eastAsia="宋体" w:cs="宋体"/>
          <w:kern w:val="0"/>
          <w:sz w:val="21"/>
          <w:szCs w:val="21"/>
          <w:highlight w:val="none"/>
          <w:u w:val="single"/>
          <w:lang w:eastAsia="zh-CN"/>
        </w:rPr>
        <w:t>）</w:t>
      </w:r>
      <w:r>
        <w:rPr>
          <w:rFonts w:hint="eastAsia" w:ascii="宋体" w:hAnsi="宋体" w:eastAsia="宋体" w:cs="宋体"/>
          <w:kern w:val="0"/>
          <w:sz w:val="21"/>
          <w:szCs w:val="21"/>
          <w:highlight w:val="none"/>
        </w:rPr>
        <w:t>种方式解决。</w:t>
      </w:r>
    </w:p>
    <w:p w14:paraId="0CFAC44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w:t>
      </w:r>
      <w:r>
        <w:rPr>
          <w:rFonts w:hint="eastAsia" w:ascii="宋体" w:hAnsi="宋体" w:eastAsia="宋体" w:cs="宋体"/>
          <w:kern w:val="0"/>
          <w:sz w:val="21"/>
          <w:szCs w:val="21"/>
          <w:highlight w:val="none"/>
          <w:lang w:val="en-US" w:eastAsia="zh-CN"/>
        </w:rPr>
        <w:t>向</w:t>
      </w:r>
      <w:r>
        <w:rPr>
          <w:rFonts w:hint="eastAsia" w:ascii="宋体" w:hAnsi="宋体" w:eastAsia="宋体" w:cs="宋体"/>
          <w:kern w:val="0"/>
          <w:sz w:val="21"/>
          <w:szCs w:val="21"/>
          <w:highlight w:val="none"/>
        </w:rPr>
        <w:t>甲方所在地人民法院提起诉讼。</w:t>
      </w:r>
    </w:p>
    <w:p w14:paraId="1386A7C7">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（2）向渭南市仲裁委员会提起仲裁。</w:t>
      </w:r>
    </w:p>
    <w:p w14:paraId="0E5E1C8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2" w:firstLineChars="200"/>
        <w:jc w:val="left"/>
        <w:textAlignment w:val="auto"/>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十一、违约责任</w:t>
      </w:r>
    </w:p>
    <w:p w14:paraId="00E227F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rPr>
        <w:t>未按合同要求提供</w:t>
      </w:r>
      <w:r>
        <w:rPr>
          <w:rFonts w:hint="eastAsia" w:ascii="宋体" w:hAnsi="宋体" w:eastAsia="宋体" w:cs="宋体"/>
          <w:kern w:val="0"/>
          <w:sz w:val="21"/>
          <w:szCs w:val="21"/>
          <w:highlight w:val="none"/>
          <w:lang w:val="en-US" w:eastAsia="zh-CN"/>
        </w:rPr>
        <w:t>产品</w:t>
      </w:r>
      <w:r>
        <w:rPr>
          <w:rFonts w:hint="eastAsia" w:ascii="宋体" w:hAnsi="宋体" w:eastAsia="宋体" w:cs="宋体"/>
          <w:kern w:val="0"/>
          <w:sz w:val="21"/>
          <w:szCs w:val="21"/>
          <w:highlight w:val="none"/>
        </w:rPr>
        <w:t>或</w:t>
      </w:r>
      <w:r>
        <w:rPr>
          <w:rFonts w:hint="eastAsia" w:ascii="宋体" w:hAnsi="宋体" w:eastAsia="宋体" w:cs="宋体"/>
          <w:kern w:val="0"/>
          <w:sz w:val="21"/>
          <w:szCs w:val="21"/>
          <w:highlight w:val="none"/>
          <w:lang w:val="en-US" w:eastAsia="zh-CN"/>
        </w:rPr>
        <w:t>产品</w:t>
      </w:r>
      <w:r>
        <w:rPr>
          <w:rFonts w:hint="eastAsia" w:ascii="宋体" w:hAnsi="宋体" w:eastAsia="宋体" w:cs="宋体"/>
          <w:kern w:val="0"/>
          <w:sz w:val="21"/>
          <w:szCs w:val="21"/>
          <w:highlight w:val="none"/>
        </w:rPr>
        <w:t>质量不能满足合同要求，</w:t>
      </w:r>
      <w:r>
        <w:rPr>
          <w:rFonts w:hint="eastAsia" w:ascii="宋体" w:hAnsi="宋体" w:eastAsia="宋体" w:cs="宋体"/>
          <w:kern w:val="0"/>
          <w:sz w:val="21"/>
          <w:szCs w:val="21"/>
          <w:highlight w:val="none"/>
          <w:lang w:val="en-US" w:eastAsia="zh-CN"/>
        </w:rPr>
        <w:t>甲方</w:t>
      </w:r>
      <w:r>
        <w:rPr>
          <w:rFonts w:hint="eastAsia" w:ascii="宋体" w:hAnsi="宋体" w:eastAsia="宋体" w:cs="宋体"/>
          <w:kern w:val="0"/>
          <w:sz w:val="21"/>
          <w:szCs w:val="21"/>
          <w:highlight w:val="none"/>
        </w:rPr>
        <w:t>应当将</w:t>
      </w:r>
      <w:r>
        <w:rPr>
          <w:rFonts w:hint="eastAsia" w:ascii="宋体" w:hAnsi="宋体" w:eastAsia="宋体" w:cs="宋体"/>
          <w:kern w:val="0"/>
          <w:sz w:val="21"/>
          <w:szCs w:val="21"/>
          <w:highlight w:val="none"/>
          <w:lang w:val="en-US" w:eastAsia="zh-CN"/>
        </w:rPr>
        <w:t>乙方</w:t>
      </w:r>
      <w:r>
        <w:rPr>
          <w:rFonts w:hint="eastAsia" w:ascii="宋体" w:hAnsi="宋体" w:eastAsia="宋体" w:cs="宋体"/>
          <w:kern w:val="0"/>
          <w:sz w:val="21"/>
          <w:szCs w:val="21"/>
          <w:highlight w:val="none"/>
        </w:rPr>
        <w:t>违约的情况以及拟采取的措施以书面形式报政府采购监管部门，根据政府采购监管部门的处理意见，</w:t>
      </w:r>
      <w:r>
        <w:rPr>
          <w:rFonts w:hint="eastAsia" w:ascii="宋体" w:hAnsi="宋体" w:eastAsia="宋体" w:cs="宋体"/>
          <w:kern w:val="0"/>
          <w:sz w:val="21"/>
          <w:szCs w:val="21"/>
          <w:highlight w:val="none"/>
          <w:lang w:val="en-US" w:eastAsia="zh-CN"/>
        </w:rPr>
        <w:t>甲方</w:t>
      </w:r>
      <w:r>
        <w:rPr>
          <w:rFonts w:hint="eastAsia" w:ascii="宋体" w:hAnsi="宋体" w:eastAsia="宋体" w:cs="宋体"/>
          <w:kern w:val="0"/>
          <w:sz w:val="21"/>
          <w:szCs w:val="21"/>
          <w:highlight w:val="none"/>
        </w:rPr>
        <w:t>有权依据《中华人民共和国民法典》有关条款及合同约定终止合同，并要求</w:t>
      </w:r>
      <w:r>
        <w:rPr>
          <w:rFonts w:hint="eastAsia" w:ascii="宋体" w:hAnsi="宋体" w:eastAsia="宋体" w:cs="宋体"/>
          <w:kern w:val="0"/>
          <w:sz w:val="21"/>
          <w:szCs w:val="21"/>
          <w:highlight w:val="none"/>
          <w:lang w:val="en-US" w:eastAsia="zh-CN"/>
        </w:rPr>
        <w:t>乙方</w:t>
      </w:r>
      <w:r>
        <w:rPr>
          <w:rFonts w:hint="eastAsia" w:ascii="宋体" w:hAnsi="宋体" w:eastAsia="宋体" w:cs="宋体"/>
          <w:kern w:val="0"/>
          <w:sz w:val="21"/>
          <w:szCs w:val="21"/>
          <w:highlight w:val="none"/>
        </w:rPr>
        <w:t>承担违约责任。同时，政府采购监管部门有权依据《中华人民共和国政府采购法》及相关法律法规对</w:t>
      </w:r>
      <w:r>
        <w:rPr>
          <w:rFonts w:hint="eastAsia" w:ascii="宋体" w:hAnsi="宋体" w:eastAsia="宋体" w:cs="宋体"/>
          <w:kern w:val="0"/>
          <w:sz w:val="21"/>
          <w:szCs w:val="21"/>
          <w:highlight w:val="none"/>
          <w:lang w:val="en-US" w:eastAsia="zh-CN"/>
        </w:rPr>
        <w:t>乙方</w:t>
      </w:r>
      <w:r>
        <w:rPr>
          <w:rFonts w:hint="eastAsia" w:ascii="宋体" w:hAnsi="宋体" w:eastAsia="宋体" w:cs="宋体"/>
          <w:kern w:val="0"/>
          <w:sz w:val="21"/>
          <w:szCs w:val="21"/>
          <w:highlight w:val="none"/>
        </w:rPr>
        <w:t>的违法行为进行相应的处罚。</w:t>
      </w:r>
    </w:p>
    <w:p w14:paraId="1A68F52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val="en-US" w:eastAsia="zh-CN"/>
        </w:rPr>
        <w:t>2</w:t>
      </w:r>
      <w:r>
        <w:rPr>
          <w:rFonts w:hint="eastAsia" w:ascii="宋体" w:hAnsi="宋体" w:eastAsia="宋体" w:cs="宋体"/>
          <w:kern w:val="0"/>
          <w:sz w:val="21"/>
          <w:szCs w:val="21"/>
          <w:highlight w:val="none"/>
        </w:rPr>
        <w:t>、乙方不能交货的，甲方不向乙方付款。乙方应向甲方偿付相当于不能交货部分货款的10%的违约金</w:t>
      </w:r>
      <w:r>
        <w:rPr>
          <w:rFonts w:hint="eastAsia" w:ascii="宋体" w:hAnsi="宋体" w:eastAsia="宋体" w:cs="宋体"/>
          <w:kern w:val="0"/>
          <w:sz w:val="21"/>
          <w:szCs w:val="21"/>
          <w:highlight w:val="none"/>
          <w:lang w:eastAsia="zh-CN"/>
        </w:rPr>
        <w:t>；</w:t>
      </w:r>
    </w:p>
    <w:p w14:paraId="397DA5E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lang w:val="en-US" w:eastAsia="zh-CN"/>
        </w:rPr>
        <w:t>3</w:t>
      </w:r>
      <w:r>
        <w:rPr>
          <w:rFonts w:hint="eastAsia" w:ascii="宋体" w:hAnsi="宋体" w:eastAsia="宋体" w:cs="宋体"/>
          <w:kern w:val="0"/>
          <w:sz w:val="21"/>
          <w:szCs w:val="21"/>
          <w:highlight w:val="none"/>
        </w:rPr>
        <w:t>、乙方所交物品品种、数量、规格、质量不符合国家法律法规和合同规定的，由乙方负责包修、包换或退货，并承担由此而支付的实际费用</w:t>
      </w:r>
      <w:r>
        <w:rPr>
          <w:rFonts w:hint="eastAsia" w:ascii="宋体" w:hAnsi="宋体" w:eastAsia="宋体" w:cs="宋体"/>
          <w:kern w:val="0"/>
          <w:sz w:val="21"/>
          <w:szCs w:val="21"/>
          <w:highlight w:val="none"/>
          <w:lang w:eastAsia="zh-CN"/>
        </w:rPr>
        <w:t>；</w:t>
      </w:r>
    </w:p>
    <w:p w14:paraId="6243572C">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4</w:t>
      </w:r>
      <w:r>
        <w:rPr>
          <w:rFonts w:hint="eastAsia" w:ascii="宋体" w:hAnsi="宋体" w:eastAsia="宋体" w:cs="宋体"/>
          <w:kern w:val="0"/>
          <w:sz w:val="21"/>
          <w:szCs w:val="21"/>
          <w:highlight w:val="none"/>
        </w:rPr>
        <w:t>、乙方逾期交货的，按逾期交货部分货款计算，向甲方偿付每日千分之</w:t>
      </w:r>
      <w:r>
        <w:rPr>
          <w:rFonts w:hint="eastAsia" w:ascii="宋体" w:hAnsi="宋体" w:eastAsia="宋体" w:cs="宋体"/>
          <w:kern w:val="0"/>
          <w:sz w:val="21"/>
          <w:szCs w:val="21"/>
          <w:highlight w:val="none"/>
          <w:lang w:val="en-US" w:eastAsia="zh-CN"/>
        </w:rPr>
        <w:t>三</w:t>
      </w:r>
      <w:r>
        <w:rPr>
          <w:rFonts w:hint="eastAsia" w:ascii="宋体" w:hAnsi="宋体" w:eastAsia="宋体" w:cs="宋体"/>
          <w:kern w:val="0"/>
          <w:sz w:val="21"/>
          <w:szCs w:val="21"/>
          <w:highlight w:val="none"/>
        </w:rPr>
        <w:t>的违约金，并承担甲方因此所受的损失费用，逾期超过</w:t>
      </w:r>
      <w:r>
        <w:rPr>
          <w:rFonts w:hint="eastAsia" w:ascii="宋体" w:hAnsi="宋体" w:eastAsia="宋体" w:cs="宋体"/>
          <w:kern w:val="0"/>
          <w:sz w:val="21"/>
          <w:szCs w:val="21"/>
          <w:highlight w:val="none"/>
          <w:lang w:val="en-US" w:eastAsia="zh-CN"/>
        </w:rPr>
        <w:t>10</w:t>
      </w:r>
      <w:r>
        <w:rPr>
          <w:rFonts w:hint="eastAsia" w:ascii="宋体" w:hAnsi="宋体" w:eastAsia="宋体" w:cs="宋体"/>
          <w:kern w:val="0"/>
          <w:sz w:val="21"/>
          <w:szCs w:val="21"/>
          <w:highlight w:val="none"/>
        </w:rPr>
        <w:t>天的甲方有权单方解除合同，且乙方承担甲方所受的全部损失。</w:t>
      </w:r>
    </w:p>
    <w:p w14:paraId="2F592B47">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5、</w:t>
      </w:r>
      <w:r>
        <w:rPr>
          <w:rFonts w:hint="eastAsia" w:ascii="宋体" w:hAnsi="宋体" w:eastAsia="宋体" w:cs="宋体"/>
          <w:kern w:val="0"/>
          <w:sz w:val="21"/>
          <w:szCs w:val="21"/>
          <w:highlight w:val="none"/>
        </w:rPr>
        <w:t>其他未尽事宜，按《中华人民共和国民法典》中的相关条款执行。</w:t>
      </w:r>
    </w:p>
    <w:p w14:paraId="7105A90F">
      <w:pPr>
        <w:keepNext w:val="0"/>
        <w:keepLines w:val="0"/>
        <w:pageBreakBefore w:val="0"/>
        <w:widowControl w:val="0"/>
        <w:kinsoku/>
        <w:wordWrap/>
        <w:overflowPunct/>
        <w:topLinePunct w:val="0"/>
        <w:autoSpaceDE/>
        <w:autoSpaceDN/>
        <w:bidi w:val="0"/>
        <w:spacing w:line="400" w:lineRule="exact"/>
        <w:ind w:firstLine="422" w:firstLineChars="20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十二、其他</w:t>
      </w:r>
    </w:p>
    <w:p w14:paraId="792DB54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1、本合同经</w:t>
      </w:r>
      <w:r>
        <w:rPr>
          <w:rFonts w:hint="eastAsia" w:ascii="宋体" w:hAnsi="宋体" w:eastAsia="宋体" w:cs="宋体"/>
          <w:kern w:val="0"/>
          <w:sz w:val="21"/>
          <w:szCs w:val="21"/>
          <w:highlight w:val="none"/>
          <w:lang w:val="en-US" w:eastAsia="zh-CN"/>
        </w:rPr>
        <w:t>甲乙双方</w:t>
      </w:r>
      <w:r>
        <w:rPr>
          <w:rFonts w:hint="eastAsia" w:ascii="宋体" w:hAnsi="宋体" w:eastAsia="宋体" w:cs="宋体"/>
          <w:kern w:val="0"/>
          <w:sz w:val="21"/>
          <w:szCs w:val="21"/>
          <w:highlight w:val="none"/>
        </w:rPr>
        <w:t>签字盖章后生效。</w:t>
      </w:r>
    </w:p>
    <w:p w14:paraId="4C3201D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400" w:lineRule="exact"/>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2、本合同一式六份，</w:t>
      </w:r>
      <w:r>
        <w:rPr>
          <w:rFonts w:hint="eastAsia" w:ascii="宋体" w:hAnsi="宋体" w:eastAsia="宋体" w:cs="宋体"/>
          <w:kern w:val="0"/>
          <w:sz w:val="21"/>
          <w:szCs w:val="21"/>
          <w:highlight w:val="none"/>
          <w:lang w:val="en-US" w:eastAsia="zh-CN"/>
        </w:rPr>
        <w:t>甲乙双方</w:t>
      </w:r>
      <w:r>
        <w:rPr>
          <w:rFonts w:hint="eastAsia" w:ascii="宋体" w:hAnsi="宋体" w:eastAsia="宋体" w:cs="宋体"/>
          <w:kern w:val="0"/>
          <w:sz w:val="21"/>
          <w:szCs w:val="21"/>
          <w:highlight w:val="none"/>
        </w:rPr>
        <w:t>各执两份，其余二份提供给相关单位。</w:t>
      </w:r>
    </w:p>
    <w:p w14:paraId="6989F64D">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sz w:val="21"/>
          <w:szCs w:val="21"/>
        </w:rPr>
      </w:pPr>
    </w:p>
    <w:p w14:paraId="27811FC6">
      <w:pPr>
        <w:pStyle w:val="12"/>
        <w:keepNext w:val="0"/>
        <w:keepLines w:val="0"/>
        <w:pageBreakBefore w:val="0"/>
        <w:widowControl w:val="0"/>
        <w:kinsoku/>
        <w:wordWrap/>
        <w:overflowPunct/>
        <w:topLinePunct w:val="0"/>
        <w:autoSpaceDE/>
        <w:autoSpaceDN/>
        <w:bidi w:val="0"/>
        <w:spacing w:line="400" w:lineRule="exact"/>
        <w:textAlignment w:val="auto"/>
        <w:rPr>
          <w:rFonts w:hint="eastAsia"/>
          <w:sz w:val="21"/>
          <w:szCs w:val="21"/>
        </w:rPr>
      </w:pPr>
    </w:p>
    <w:p w14:paraId="7644ED57">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采购人（</w:t>
      </w:r>
      <w:r>
        <w:rPr>
          <w:rFonts w:hint="eastAsia" w:ascii="宋体" w:hAnsi="宋体" w:eastAsia="宋体" w:cs="宋体"/>
          <w:sz w:val="21"/>
          <w:szCs w:val="21"/>
          <w:lang w:val="en-US" w:eastAsia="zh-CN"/>
        </w:rPr>
        <w:t>盖</w:t>
      </w:r>
      <w:r>
        <w:rPr>
          <w:rFonts w:hint="eastAsia" w:ascii="宋体" w:hAnsi="宋体" w:eastAsia="宋体" w:cs="宋体"/>
          <w:sz w:val="21"/>
          <w:szCs w:val="21"/>
        </w:rPr>
        <w:t xml:space="preserve">章）：                          </w:t>
      </w:r>
      <w:r>
        <w:rPr>
          <w:rFonts w:hint="eastAsia" w:ascii="宋体" w:hAnsi="宋体" w:eastAsia="宋体" w:cs="宋体"/>
          <w:sz w:val="21"/>
          <w:szCs w:val="21"/>
          <w:lang w:val="en-US" w:eastAsia="zh-CN"/>
        </w:rPr>
        <w:t>供应商</w:t>
      </w:r>
      <w:r>
        <w:rPr>
          <w:rFonts w:hint="eastAsia" w:ascii="宋体" w:hAnsi="宋体" w:eastAsia="宋体" w:cs="宋体"/>
          <w:sz w:val="21"/>
          <w:szCs w:val="21"/>
        </w:rPr>
        <w:t>（</w:t>
      </w:r>
      <w:r>
        <w:rPr>
          <w:rFonts w:hint="eastAsia" w:ascii="宋体" w:hAnsi="宋体" w:eastAsia="宋体" w:cs="宋体"/>
          <w:sz w:val="21"/>
          <w:szCs w:val="21"/>
          <w:lang w:val="en-US" w:eastAsia="zh-CN"/>
        </w:rPr>
        <w:t>盖</w:t>
      </w:r>
      <w:r>
        <w:rPr>
          <w:rFonts w:hint="eastAsia" w:ascii="宋体" w:hAnsi="宋体" w:eastAsia="宋体" w:cs="宋体"/>
          <w:sz w:val="21"/>
          <w:szCs w:val="21"/>
        </w:rPr>
        <w:t>章）：</w:t>
      </w:r>
    </w:p>
    <w:p w14:paraId="1D617C7A">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        </w:t>
      </w:r>
    </w:p>
    <w:p w14:paraId="6E6E9F82">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法定代表人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法定代表人  </w:t>
      </w:r>
    </w:p>
    <w:p w14:paraId="753D961B">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eastAsia="宋体" w:cs="宋体"/>
        </w:rPr>
      </w:pPr>
      <w:r>
        <w:rPr>
          <w:rFonts w:hint="eastAsia" w:ascii="宋体" w:hAnsi="宋体" w:eastAsia="宋体" w:cs="宋体"/>
          <w:sz w:val="21"/>
          <w:szCs w:val="21"/>
        </w:rPr>
        <w:t>或委托代理人（签字或盖章）：              或委托代理人（签字或盖章）：</w:t>
      </w:r>
    </w:p>
    <w:p w14:paraId="36CC3F99">
      <w:pPr>
        <w:pStyle w:val="24"/>
        <w:outlineLvl w:val="9"/>
        <w:rPr>
          <w:rFonts w:hint="eastAsia" w:ascii="宋体" w:hAnsi="宋体" w:eastAsia="宋体" w:cs="宋体"/>
        </w:rPr>
      </w:pPr>
    </w:p>
    <w:p w14:paraId="4FCBD024">
      <w:pPr>
        <w:pStyle w:val="24"/>
        <w:outlineLvl w:val="9"/>
        <w:rPr>
          <w:rFonts w:hint="eastAsia" w:ascii="宋体" w:hAnsi="宋体" w:eastAsia="宋体" w:cs="宋体"/>
        </w:rPr>
      </w:pPr>
    </w:p>
    <w:p w14:paraId="2BB54CE0">
      <w:pPr>
        <w:rPr>
          <w:rFonts w:hint="eastAsia" w:ascii="宋体" w:hAnsi="宋体" w:eastAsia="宋体" w:cs="宋体"/>
        </w:rPr>
      </w:pPr>
    </w:p>
    <w:p w14:paraId="3BDB624A">
      <w:pPr>
        <w:pStyle w:val="16"/>
        <w:rPr>
          <w:rFonts w:hint="eastAsia" w:ascii="宋体" w:hAnsi="宋体" w:eastAsia="宋体" w:cs="宋体"/>
        </w:rPr>
      </w:pPr>
    </w:p>
    <w:p w14:paraId="58FB9A13">
      <w:pPr>
        <w:pStyle w:val="16"/>
        <w:rPr>
          <w:rFonts w:hint="eastAsia" w:ascii="宋体" w:hAnsi="宋体" w:eastAsia="宋体" w:cs="宋体"/>
        </w:rPr>
      </w:pPr>
    </w:p>
    <w:p w14:paraId="53618316">
      <w:pPr>
        <w:pStyle w:val="16"/>
        <w:rPr>
          <w:rFonts w:hint="eastAsia" w:ascii="宋体" w:hAnsi="宋体" w:eastAsia="宋体" w:cs="宋体"/>
        </w:rPr>
      </w:pPr>
    </w:p>
    <w:p w14:paraId="18EFA7EC">
      <w:pPr>
        <w:rPr>
          <w:rFonts w:hint="eastAsia"/>
        </w:rPr>
      </w:pPr>
    </w:p>
    <w:bookmarkEnd w:id="0"/>
    <w:bookmarkEnd w:id="1"/>
    <w:bookmarkEnd w:id="2"/>
    <w:bookmarkEnd w:id="3"/>
    <w:p w14:paraId="166EEF78">
      <w:pPr>
        <w:rPr>
          <w:rFonts w:hint="eastAsia" w:ascii="宋体" w:hAnsi="宋体" w:eastAsia="宋体" w:cs="宋体"/>
        </w:rPr>
      </w:pPr>
    </w:p>
    <w:sectPr>
      <w:footerReference r:id="rId5" w:type="default"/>
      <w:pgSz w:w="11906" w:h="16838"/>
      <w:pgMar w:top="1417" w:right="1417" w:bottom="1417" w:left="1417" w:header="851" w:footer="992" w:gutter="0"/>
      <w:paperSrc/>
      <w:pgBorders>
        <w:top w:val="none" w:sz="0" w:space="0"/>
        <w:left w:val="none" w:sz="0" w:space="0"/>
        <w:bottom w:val="none" w:sz="0" w:space="0"/>
        <w:right w:val="none" w:sz="0" w:space="0"/>
      </w:pgBorders>
      <w:cols w:space="720" w:num="1"/>
      <w:rtlGutter w:val="0"/>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A6C68">
    <w:pPr>
      <w:pStyle w:val="18"/>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F05B46"/>
    <w:multiLevelType w:val="multilevel"/>
    <w:tmpl w:val="20F05B46"/>
    <w:lvl w:ilvl="0" w:tentative="0">
      <w:start w:val="1"/>
      <w:numFmt w:val="japaneseCounting"/>
      <w:pStyle w:val="7"/>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9"/>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0ZjQ5ZTc1ZThhNDU5OGU2NmNlMmYwZDdjYjA2ZTIifQ=="/>
  </w:docVars>
  <w:rsids>
    <w:rsidRoot w:val="001657EE"/>
    <w:rsid w:val="00005557"/>
    <w:rsid w:val="00006423"/>
    <w:rsid w:val="0001152C"/>
    <w:rsid w:val="000154AC"/>
    <w:rsid w:val="00015CD6"/>
    <w:rsid w:val="00016420"/>
    <w:rsid w:val="0002473D"/>
    <w:rsid w:val="00026B22"/>
    <w:rsid w:val="00030776"/>
    <w:rsid w:val="00050305"/>
    <w:rsid w:val="00053431"/>
    <w:rsid w:val="0006387F"/>
    <w:rsid w:val="00064A00"/>
    <w:rsid w:val="000659B2"/>
    <w:rsid w:val="0007318E"/>
    <w:rsid w:val="00090BF5"/>
    <w:rsid w:val="00096809"/>
    <w:rsid w:val="00096827"/>
    <w:rsid w:val="000A07C7"/>
    <w:rsid w:val="000A28D3"/>
    <w:rsid w:val="000A6212"/>
    <w:rsid w:val="000B507F"/>
    <w:rsid w:val="000B61FF"/>
    <w:rsid w:val="000B631B"/>
    <w:rsid w:val="000B6EEF"/>
    <w:rsid w:val="000D21F8"/>
    <w:rsid w:val="000D6BB4"/>
    <w:rsid w:val="000D7CF4"/>
    <w:rsid w:val="000E4326"/>
    <w:rsid w:val="000E46DF"/>
    <w:rsid w:val="000F4E7D"/>
    <w:rsid w:val="00101D77"/>
    <w:rsid w:val="00103E7D"/>
    <w:rsid w:val="001043B6"/>
    <w:rsid w:val="001103DD"/>
    <w:rsid w:val="00113550"/>
    <w:rsid w:val="00125DED"/>
    <w:rsid w:val="00134C2B"/>
    <w:rsid w:val="00152508"/>
    <w:rsid w:val="00154BAC"/>
    <w:rsid w:val="00164ED4"/>
    <w:rsid w:val="001657EE"/>
    <w:rsid w:val="00165D0E"/>
    <w:rsid w:val="00166459"/>
    <w:rsid w:val="001719C3"/>
    <w:rsid w:val="00177DF0"/>
    <w:rsid w:val="001802A2"/>
    <w:rsid w:val="00180464"/>
    <w:rsid w:val="00181380"/>
    <w:rsid w:val="00191958"/>
    <w:rsid w:val="00191DA7"/>
    <w:rsid w:val="0019238F"/>
    <w:rsid w:val="00192AFC"/>
    <w:rsid w:val="00196DB2"/>
    <w:rsid w:val="001A36E2"/>
    <w:rsid w:val="001A6E6A"/>
    <w:rsid w:val="001A7145"/>
    <w:rsid w:val="001B3A85"/>
    <w:rsid w:val="001C4D7E"/>
    <w:rsid w:val="001E11E5"/>
    <w:rsid w:val="001F7D60"/>
    <w:rsid w:val="002015FA"/>
    <w:rsid w:val="0020385E"/>
    <w:rsid w:val="00211361"/>
    <w:rsid w:val="002114BC"/>
    <w:rsid w:val="00215DBE"/>
    <w:rsid w:val="00231E0F"/>
    <w:rsid w:val="00243033"/>
    <w:rsid w:val="0024410C"/>
    <w:rsid w:val="002530D5"/>
    <w:rsid w:val="00254D05"/>
    <w:rsid w:val="002620FE"/>
    <w:rsid w:val="0026445C"/>
    <w:rsid w:val="00264A06"/>
    <w:rsid w:val="00265E8F"/>
    <w:rsid w:val="00267B1B"/>
    <w:rsid w:val="00270F25"/>
    <w:rsid w:val="0028005F"/>
    <w:rsid w:val="00286EAE"/>
    <w:rsid w:val="00287B11"/>
    <w:rsid w:val="00290D80"/>
    <w:rsid w:val="002A76EA"/>
    <w:rsid w:val="002B1111"/>
    <w:rsid w:val="002B5826"/>
    <w:rsid w:val="002B785F"/>
    <w:rsid w:val="002C01F7"/>
    <w:rsid w:val="002C508C"/>
    <w:rsid w:val="002D483E"/>
    <w:rsid w:val="002D4E92"/>
    <w:rsid w:val="002D59A1"/>
    <w:rsid w:val="002D5EA9"/>
    <w:rsid w:val="002E65EB"/>
    <w:rsid w:val="002E6678"/>
    <w:rsid w:val="002F1363"/>
    <w:rsid w:val="002F1DF5"/>
    <w:rsid w:val="002F7F08"/>
    <w:rsid w:val="00301891"/>
    <w:rsid w:val="0032023F"/>
    <w:rsid w:val="003324ED"/>
    <w:rsid w:val="00334845"/>
    <w:rsid w:val="00341581"/>
    <w:rsid w:val="00341E60"/>
    <w:rsid w:val="00354FCE"/>
    <w:rsid w:val="00373571"/>
    <w:rsid w:val="00376DFA"/>
    <w:rsid w:val="00382EDA"/>
    <w:rsid w:val="00382F49"/>
    <w:rsid w:val="0038426C"/>
    <w:rsid w:val="003847A1"/>
    <w:rsid w:val="00394280"/>
    <w:rsid w:val="003A1077"/>
    <w:rsid w:val="003A430A"/>
    <w:rsid w:val="003B0FCD"/>
    <w:rsid w:val="003B3EA9"/>
    <w:rsid w:val="003C02E7"/>
    <w:rsid w:val="003C30B2"/>
    <w:rsid w:val="003C406F"/>
    <w:rsid w:val="003E0E1C"/>
    <w:rsid w:val="003E2085"/>
    <w:rsid w:val="003E34FE"/>
    <w:rsid w:val="003E5961"/>
    <w:rsid w:val="003E78C7"/>
    <w:rsid w:val="004214C3"/>
    <w:rsid w:val="00434A9E"/>
    <w:rsid w:val="00440038"/>
    <w:rsid w:val="00454E18"/>
    <w:rsid w:val="00462E97"/>
    <w:rsid w:val="00463C83"/>
    <w:rsid w:val="004725B7"/>
    <w:rsid w:val="0047273C"/>
    <w:rsid w:val="004808FF"/>
    <w:rsid w:val="0048322D"/>
    <w:rsid w:val="0048404A"/>
    <w:rsid w:val="00491C51"/>
    <w:rsid w:val="004945F4"/>
    <w:rsid w:val="00496408"/>
    <w:rsid w:val="004A0222"/>
    <w:rsid w:val="004A4F7B"/>
    <w:rsid w:val="004A6F44"/>
    <w:rsid w:val="004B24C4"/>
    <w:rsid w:val="004B3183"/>
    <w:rsid w:val="004B4E50"/>
    <w:rsid w:val="004B4ECD"/>
    <w:rsid w:val="004C7C83"/>
    <w:rsid w:val="004D2F36"/>
    <w:rsid w:val="004D67EE"/>
    <w:rsid w:val="004F19AC"/>
    <w:rsid w:val="004F7210"/>
    <w:rsid w:val="004F7B6C"/>
    <w:rsid w:val="005004A0"/>
    <w:rsid w:val="00504263"/>
    <w:rsid w:val="00514ECC"/>
    <w:rsid w:val="00521063"/>
    <w:rsid w:val="00521108"/>
    <w:rsid w:val="00522652"/>
    <w:rsid w:val="00524533"/>
    <w:rsid w:val="005245DD"/>
    <w:rsid w:val="0052500A"/>
    <w:rsid w:val="00526099"/>
    <w:rsid w:val="005278F1"/>
    <w:rsid w:val="0053007D"/>
    <w:rsid w:val="00545519"/>
    <w:rsid w:val="00545A92"/>
    <w:rsid w:val="00564107"/>
    <w:rsid w:val="005648FE"/>
    <w:rsid w:val="0056536A"/>
    <w:rsid w:val="00582E15"/>
    <w:rsid w:val="00582FF3"/>
    <w:rsid w:val="005835FB"/>
    <w:rsid w:val="005A1089"/>
    <w:rsid w:val="005A2ECC"/>
    <w:rsid w:val="005A6FE0"/>
    <w:rsid w:val="005B4069"/>
    <w:rsid w:val="005C22CD"/>
    <w:rsid w:val="005C2584"/>
    <w:rsid w:val="005C3072"/>
    <w:rsid w:val="005C4B6E"/>
    <w:rsid w:val="005D2DC0"/>
    <w:rsid w:val="005D59FD"/>
    <w:rsid w:val="005D76BE"/>
    <w:rsid w:val="005E5FC0"/>
    <w:rsid w:val="005F5A41"/>
    <w:rsid w:val="005F5A5D"/>
    <w:rsid w:val="006012D1"/>
    <w:rsid w:val="00615C6D"/>
    <w:rsid w:val="00616B27"/>
    <w:rsid w:val="00617EA2"/>
    <w:rsid w:val="006235BC"/>
    <w:rsid w:val="0063700A"/>
    <w:rsid w:val="006465FC"/>
    <w:rsid w:val="00652E61"/>
    <w:rsid w:val="006533A5"/>
    <w:rsid w:val="00661BAA"/>
    <w:rsid w:val="006666F9"/>
    <w:rsid w:val="006746D7"/>
    <w:rsid w:val="00684236"/>
    <w:rsid w:val="006854F7"/>
    <w:rsid w:val="00695B4B"/>
    <w:rsid w:val="00695F4E"/>
    <w:rsid w:val="006A2AC9"/>
    <w:rsid w:val="006A4ECF"/>
    <w:rsid w:val="006B7264"/>
    <w:rsid w:val="006B79EC"/>
    <w:rsid w:val="006C09E4"/>
    <w:rsid w:val="006D5ACA"/>
    <w:rsid w:val="006D7D34"/>
    <w:rsid w:val="006E1B19"/>
    <w:rsid w:val="006E1C69"/>
    <w:rsid w:val="006F44C9"/>
    <w:rsid w:val="007044E5"/>
    <w:rsid w:val="007103DF"/>
    <w:rsid w:val="0071148C"/>
    <w:rsid w:val="00721529"/>
    <w:rsid w:val="007257EF"/>
    <w:rsid w:val="00727350"/>
    <w:rsid w:val="00731528"/>
    <w:rsid w:val="007325C8"/>
    <w:rsid w:val="00735B4F"/>
    <w:rsid w:val="007544F7"/>
    <w:rsid w:val="00754545"/>
    <w:rsid w:val="0075722E"/>
    <w:rsid w:val="0076589B"/>
    <w:rsid w:val="007666F1"/>
    <w:rsid w:val="00767F70"/>
    <w:rsid w:val="00775428"/>
    <w:rsid w:val="007760DD"/>
    <w:rsid w:val="00777357"/>
    <w:rsid w:val="007811A2"/>
    <w:rsid w:val="007829D6"/>
    <w:rsid w:val="007853B8"/>
    <w:rsid w:val="0079443A"/>
    <w:rsid w:val="007A2271"/>
    <w:rsid w:val="007A7909"/>
    <w:rsid w:val="007B23A1"/>
    <w:rsid w:val="007B6679"/>
    <w:rsid w:val="007C2F00"/>
    <w:rsid w:val="007D577B"/>
    <w:rsid w:val="007E26E1"/>
    <w:rsid w:val="007F4B22"/>
    <w:rsid w:val="008071DD"/>
    <w:rsid w:val="00807DAE"/>
    <w:rsid w:val="008103E0"/>
    <w:rsid w:val="00810BCA"/>
    <w:rsid w:val="008245AA"/>
    <w:rsid w:val="008254CA"/>
    <w:rsid w:val="00826267"/>
    <w:rsid w:val="008279DB"/>
    <w:rsid w:val="00835883"/>
    <w:rsid w:val="00835BD7"/>
    <w:rsid w:val="008406A0"/>
    <w:rsid w:val="008406B2"/>
    <w:rsid w:val="008437C1"/>
    <w:rsid w:val="00843DEF"/>
    <w:rsid w:val="008508F7"/>
    <w:rsid w:val="0086031D"/>
    <w:rsid w:val="00863505"/>
    <w:rsid w:val="008648EC"/>
    <w:rsid w:val="00873DA8"/>
    <w:rsid w:val="008828A2"/>
    <w:rsid w:val="0089790C"/>
    <w:rsid w:val="008A5FCF"/>
    <w:rsid w:val="008C1A8E"/>
    <w:rsid w:val="008C7C1F"/>
    <w:rsid w:val="008D0588"/>
    <w:rsid w:val="008D1FFA"/>
    <w:rsid w:val="008D4C31"/>
    <w:rsid w:val="008F0054"/>
    <w:rsid w:val="008F67D1"/>
    <w:rsid w:val="00920A2A"/>
    <w:rsid w:val="00942C71"/>
    <w:rsid w:val="0094557A"/>
    <w:rsid w:val="009549AE"/>
    <w:rsid w:val="0096036C"/>
    <w:rsid w:val="0096236B"/>
    <w:rsid w:val="00971F18"/>
    <w:rsid w:val="00972739"/>
    <w:rsid w:val="00990C89"/>
    <w:rsid w:val="009A37BB"/>
    <w:rsid w:val="009A7EB4"/>
    <w:rsid w:val="009B3BB0"/>
    <w:rsid w:val="009D041E"/>
    <w:rsid w:val="009D1C97"/>
    <w:rsid w:val="009D3CBE"/>
    <w:rsid w:val="009D54AD"/>
    <w:rsid w:val="009E00FD"/>
    <w:rsid w:val="009F1284"/>
    <w:rsid w:val="00A00A0C"/>
    <w:rsid w:val="00A051D9"/>
    <w:rsid w:val="00A129B9"/>
    <w:rsid w:val="00A131E0"/>
    <w:rsid w:val="00A14442"/>
    <w:rsid w:val="00A2644E"/>
    <w:rsid w:val="00A35EEA"/>
    <w:rsid w:val="00A413D4"/>
    <w:rsid w:val="00A436A3"/>
    <w:rsid w:val="00A56B69"/>
    <w:rsid w:val="00A61ACB"/>
    <w:rsid w:val="00A75831"/>
    <w:rsid w:val="00A8692B"/>
    <w:rsid w:val="00AA189E"/>
    <w:rsid w:val="00AB2123"/>
    <w:rsid w:val="00AB34BD"/>
    <w:rsid w:val="00AB7BA1"/>
    <w:rsid w:val="00AC1BFE"/>
    <w:rsid w:val="00AC6982"/>
    <w:rsid w:val="00AE4232"/>
    <w:rsid w:val="00AF262B"/>
    <w:rsid w:val="00AF4C0F"/>
    <w:rsid w:val="00B019A7"/>
    <w:rsid w:val="00B0207F"/>
    <w:rsid w:val="00B06584"/>
    <w:rsid w:val="00B12324"/>
    <w:rsid w:val="00B14DF7"/>
    <w:rsid w:val="00B151A3"/>
    <w:rsid w:val="00B208AE"/>
    <w:rsid w:val="00B208BA"/>
    <w:rsid w:val="00B21656"/>
    <w:rsid w:val="00B22B34"/>
    <w:rsid w:val="00B30BDF"/>
    <w:rsid w:val="00B30C48"/>
    <w:rsid w:val="00B32D96"/>
    <w:rsid w:val="00B3598F"/>
    <w:rsid w:val="00B414EC"/>
    <w:rsid w:val="00B4427C"/>
    <w:rsid w:val="00B4714C"/>
    <w:rsid w:val="00B51761"/>
    <w:rsid w:val="00B65FF8"/>
    <w:rsid w:val="00B67535"/>
    <w:rsid w:val="00B713C2"/>
    <w:rsid w:val="00B73F97"/>
    <w:rsid w:val="00B74710"/>
    <w:rsid w:val="00B7603F"/>
    <w:rsid w:val="00B845DD"/>
    <w:rsid w:val="00B86FED"/>
    <w:rsid w:val="00BB2A9F"/>
    <w:rsid w:val="00BB2ACB"/>
    <w:rsid w:val="00BC7CE9"/>
    <w:rsid w:val="00BD11B3"/>
    <w:rsid w:val="00BD1563"/>
    <w:rsid w:val="00BD269D"/>
    <w:rsid w:val="00C01DE0"/>
    <w:rsid w:val="00C21C40"/>
    <w:rsid w:val="00C21C43"/>
    <w:rsid w:val="00C25C99"/>
    <w:rsid w:val="00C332F7"/>
    <w:rsid w:val="00C35E10"/>
    <w:rsid w:val="00C5327C"/>
    <w:rsid w:val="00C53CD6"/>
    <w:rsid w:val="00C6366B"/>
    <w:rsid w:val="00C67AFB"/>
    <w:rsid w:val="00C74C5E"/>
    <w:rsid w:val="00C955BF"/>
    <w:rsid w:val="00C96AB8"/>
    <w:rsid w:val="00C96B6F"/>
    <w:rsid w:val="00CA0C66"/>
    <w:rsid w:val="00CB2BA7"/>
    <w:rsid w:val="00CB6F6F"/>
    <w:rsid w:val="00CC13CA"/>
    <w:rsid w:val="00CC5AAC"/>
    <w:rsid w:val="00CC609F"/>
    <w:rsid w:val="00CD02A5"/>
    <w:rsid w:val="00CD73E8"/>
    <w:rsid w:val="00CE7832"/>
    <w:rsid w:val="00CE7AF1"/>
    <w:rsid w:val="00CF2892"/>
    <w:rsid w:val="00CF2AA3"/>
    <w:rsid w:val="00CF3139"/>
    <w:rsid w:val="00CF38A7"/>
    <w:rsid w:val="00CF4079"/>
    <w:rsid w:val="00CF40D6"/>
    <w:rsid w:val="00D07325"/>
    <w:rsid w:val="00D142ED"/>
    <w:rsid w:val="00D149CF"/>
    <w:rsid w:val="00D1597C"/>
    <w:rsid w:val="00D15E43"/>
    <w:rsid w:val="00D23BF9"/>
    <w:rsid w:val="00D3505B"/>
    <w:rsid w:val="00D36157"/>
    <w:rsid w:val="00D36F15"/>
    <w:rsid w:val="00D42C43"/>
    <w:rsid w:val="00D54304"/>
    <w:rsid w:val="00D55836"/>
    <w:rsid w:val="00D73468"/>
    <w:rsid w:val="00D73F60"/>
    <w:rsid w:val="00D76C01"/>
    <w:rsid w:val="00D85A3F"/>
    <w:rsid w:val="00D933C4"/>
    <w:rsid w:val="00D93749"/>
    <w:rsid w:val="00DA004E"/>
    <w:rsid w:val="00DA00C0"/>
    <w:rsid w:val="00DA154B"/>
    <w:rsid w:val="00DB3628"/>
    <w:rsid w:val="00DB5084"/>
    <w:rsid w:val="00DB612A"/>
    <w:rsid w:val="00DB61D3"/>
    <w:rsid w:val="00DD2B3E"/>
    <w:rsid w:val="00DD3CE6"/>
    <w:rsid w:val="00DD55EC"/>
    <w:rsid w:val="00DD5816"/>
    <w:rsid w:val="00E11D36"/>
    <w:rsid w:val="00E11FEC"/>
    <w:rsid w:val="00E125CD"/>
    <w:rsid w:val="00E20499"/>
    <w:rsid w:val="00E22427"/>
    <w:rsid w:val="00E2539B"/>
    <w:rsid w:val="00E32EFC"/>
    <w:rsid w:val="00E331C5"/>
    <w:rsid w:val="00E345CF"/>
    <w:rsid w:val="00E50E88"/>
    <w:rsid w:val="00E70398"/>
    <w:rsid w:val="00E7377B"/>
    <w:rsid w:val="00E742AB"/>
    <w:rsid w:val="00E749DB"/>
    <w:rsid w:val="00E8199B"/>
    <w:rsid w:val="00E921E4"/>
    <w:rsid w:val="00E96B1B"/>
    <w:rsid w:val="00E97096"/>
    <w:rsid w:val="00EA52A0"/>
    <w:rsid w:val="00EA58C9"/>
    <w:rsid w:val="00EA7988"/>
    <w:rsid w:val="00EC2D11"/>
    <w:rsid w:val="00ED5E50"/>
    <w:rsid w:val="00EF0BB3"/>
    <w:rsid w:val="00F05BA6"/>
    <w:rsid w:val="00F32257"/>
    <w:rsid w:val="00F32E1C"/>
    <w:rsid w:val="00F34985"/>
    <w:rsid w:val="00F369BA"/>
    <w:rsid w:val="00F36DD4"/>
    <w:rsid w:val="00F41220"/>
    <w:rsid w:val="00F579C6"/>
    <w:rsid w:val="00F62433"/>
    <w:rsid w:val="00F64B07"/>
    <w:rsid w:val="00F66F72"/>
    <w:rsid w:val="00F7380E"/>
    <w:rsid w:val="00F73955"/>
    <w:rsid w:val="00F74DB5"/>
    <w:rsid w:val="00F93262"/>
    <w:rsid w:val="00FC4995"/>
    <w:rsid w:val="00FD026C"/>
    <w:rsid w:val="00FD0B01"/>
    <w:rsid w:val="00FE3E69"/>
    <w:rsid w:val="00FF128E"/>
    <w:rsid w:val="00FF4BCA"/>
    <w:rsid w:val="00FF75AD"/>
    <w:rsid w:val="01586C10"/>
    <w:rsid w:val="01B54FD3"/>
    <w:rsid w:val="026A0A15"/>
    <w:rsid w:val="03464E5B"/>
    <w:rsid w:val="03893198"/>
    <w:rsid w:val="03FB3851"/>
    <w:rsid w:val="050D6A1C"/>
    <w:rsid w:val="0541314E"/>
    <w:rsid w:val="06D93B57"/>
    <w:rsid w:val="08487714"/>
    <w:rsid w:val="0ADA44F8"/>
    <w:rsid w:val="0BDC1F6C"/>
    <w:rsid w:val="0D235D69"/>
    <w:rsid w:val="0D9A0A96"/>
    <w:rsid w:val="0F2258C2"/>
    <w:rsid w:val="0FE06BCD"/>
    <w:rsid w:val="10040A4D"/>
    <w:rsid w:val="11A60738"/>
    <w:rsid w:val="12360D27"/>
    <w:rsid w:val="1374139C"/>
    <w:rsid w:val="18692D00"/>
    <w:rsid w:val="188310D7"/>
    <w:rsid w:val="19696237"/>
    <w:rsid w:val="1A032E05"/>
    <w:rsid w:val="1BCF0E74"/>
    <w:rsid w:val="1DAF3591"/>
    <w:rsid w:val="1EBA3CBB"/>
    <w:rsid w:val="1FAD58E1"/>
    <w:rsid w:val="2019427C"/>
    <w:rsid w:val="209740B6"/>
    <w:rsid w:val="210839A8"/>
    <w:rsid w:val="21240DEE"/>
    <w:rsid w:val="2138053C"/>
    <w:rsid w:val="22647E3E"/>
    <w:rsid w:val="22C4662B"/>
    <w:rsid w:val="22EE2792"/>
    <w:rsid w:val="231816D7"/>
    <w:rsid w:val="24DC57B5"/>
    <w:rsid w:val="25461BAB"/>
    <w:rsid w:val="25EA1DFC"/>
    <w:rsid w:val="267D050A"/>
    <w:rsid w:val="27AA2E02"/>
    <w:rsid w:val="2A3675DD"/>
    <w:rsid w:val="2B253721"/>
    <w:rsid w:val="2D326789"/>
    <w:rsid w:val="2E2618A3"/>
    <w:rsid w:val="2E412D2A"/>
    <w:rsid w:val="301D5BB2"/>
    <w:rsid w:val="312503C6"/>
    <w:rsid w:val="329A7A8D"/>
    <w:rsid w:val="33936777"/>
    <w:rsid w:val="34856E61"/>
    <w:rsid w:val="360B2B82"/>
    <w:rsid w:val="361759B7"/>
    <w:rsid w:val="37D857F8"/>
    <w:rsid w:val="3A8E7C93"/>
    <w:rsid w:val="3B2D2B8A"/>
    <w:rsid w:val="3D5A769D"/>
    <w:rsid w:val="3D6838F5"/>
    <w:rsid w:val="3EB737B6"/>
    <w:rsid w:val="3EE94613"/>
    <w:rsid w:val="3FC10EAF"/>
    <w:rsid w:val="40B728FB"/>
    <w:rsid w:val="41316E11"/>
    <w:rsid w:val="41830651"/>
    <w:rsid w:val="42273EB9"/>
    <w:rsid w:val="436314FD"/>
    <w:rsid w:val="437B2394"/>
    <w:rsid w:val="44741A8B"/>
    <w:rsid w:val="46380AF1"/>
    <w:rsid w:val="47DE2B85"/>
    <w:rsid w:val="48314585"/>
    <w:rsid w:val="48C2149F"/>
    <w:rsid w:val="4B173671"/>
    <w:rsid w:val="4C742085"/>
    <w:rsid w:val="4D206456"/>
    <w:rsid w:val="4D317204"/>
    <w:rsid w:val="4D447F01"/>
    <w:rsid w:val="4DDB7194"/>
    <w:rsid w:val="4EC811A6"/>
    <w:rsid w:val="4F114AE3"/>
    <w:rsid w:val="4F3F32CF"/>
    <w:rsid w:val="4F9F6886"/>
    <w:rsid w:val="4FA86CAF"/>
    <w:rsid w:val="506464EC"/>
    <w:rsid w:val="52A460F4"/>
    <w:rsid w:val="52AD19EC"/>
    <w:rsid w:val="53462760"/>
    <w:rsid w:val="542955C3"/>
    <w:rsid w:val="545409FD"/>
    <w:rsid w:val="54703D52"/>
    <w:rsid w:val="54CA6B5F"/>
    <w:rsid w:val="550E450F"/>
    <w:rsid w:val="5648112A"/>
    <w:rsid w:val="566951A7"/>
    <w:rsid w:val="56A83AF2"/>
    <w:rsid w:val="581D42A7"/>
    <w:rsid w:val="58DE5456"/>
    <w:rsid w:val="5A3C6FCA"/>
    <w:rsid w:val="5A8B0BC7"/>
    <w:rsid w:val="5B3D1058"/>
    <w:rsid w:val="5BA67D81"/>
    <w:rsid w:val="5EAA0E96"/>
    <w:rsid w:val="5EF420AB"/>
    <w:rsid w:val="5F037EE5"/>
    <w:rsid w:val="603369E1"/>
    <w:rsid w:val="6068021F"/>
    <w:rsid w:val="60C1185D"/>
    <w:rsid w:val="6388222C"/>
    <w:rsid w:val="67B0055C"/>
    <w:rsid w:val="67F933DF"/>
    <w:rsid w:val="68273FF7"/>
    <w:rsid w:val="6A25087F"/>
    <w:rsid w:val="6A56184A"/>
    <w:rsid w:val="6BB51660"/>
    <w:rsid w:val="6D320DCD"/>
    <w:rsid w:val="6D9F3484"/>
    <w:rsid w:val="6E33135C"/>
    <w:rsid w:val="6E8D373E"/>
    <w:rsid w:val="6F5203ED"/>
    <w:rsid w:val="6F617048"/>
    <w:rsid w:val="707E3AD5"/>
    <w:rsid w:val="73661DC2"/>
    <w:rsid w:val="75247CC5"/>
    <w:rsid w:val="7654000A"/>
    <w:rsid w:val="76C8064E"/>
    <w:rsid w:val="770F5DB3"/>
    <w:rsid w:val="78440AC7"/>
    <w:rsid w:val="78BA334C"/>
    <w:rsid w:val="799276AE"/>
    <w:rsid w:val="79BD05A2"/>
    <w:rsid w:val="79FC33E7"/>
    <w:rsid w:val="7A9526BB"/>
    <w:rsid w:val="7B1C32A1"/>
    <w:rsid w:val="7BF257D3"/>
    <w:rsid w:val="7EAB0D1E"/>
    <w:rsid w:val="7F1B385A"/>
    <w:rsid w:val="7F343312"/>
    <w:rsid w:val="7F590E6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iPriority="99"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qFormat="1" w:unhideWhenUsed="0" w:uiPriority="34" w:semiHidden="0" w:name="List Paragraph"/>
    <w:lsdException w:qFormat="1" w:unhideWhenUsed="0" w:uiPriority="30" w:semiHidden="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spacing w:line="324" w:lineRule="auto"/>
      <w:jc w:val="both"/>
    </w:pPr>
    <w:rPr>
      <w:kern w:val="2"/>
      <w:sz w:val="21"/>
      <w:szCs w:val="24"/>
      <w:lang w:val="en-US" w:eastAsia="zh-CN" w:bidi="ar-SA"/>
    </w:rPr>
  </w:style>
  <w:style w:type="paragraph" w:styleId="2">
    <w:name w:val="heading 1"/>
    <w:basedOn w:val="1"/>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6"/>
    <w:basedOn w:val="1"/>
    <w:next w:val="1"/>
    <w:link w:val="35"/>
    <w:qFormat/>
    <w:uiPriority w:val="0"/>
    <w:pPr>
      <w:keepNext/>
      <w:keepLines/>
      <w:spacing w:before="240" w:after="64" w:line="320" w:lineRule="auto"/>
      <w:outlineLvl w:val="5"/>
    </w:pPr>
    <w:rPr>
      <w:rFonts w:ascii="Cambria" w:hAnsi="Cambria" w:eastAsia="宋体" w:cs="Times New Roman"/>
      <w:b/>
      <w:bCs/>
      <w:sz w:val="24"/>
    </w:rPr>
  </w:style>
  <w:style w:type="character" w:default="1" w:styleId="29">
    <w:name w:val="Default Paragraph Font"/>
    <w:semiHidden/>
    <w:uiPriority w:val="0"/>
  </w:style>
  <w:style w:type="table" w:default="1" w:styleId="27">
    <w:name w:val="Normal Table"/>
    <w:semiHidden/>
    <w:uiPriority w:val="0"/>
    <w:tblPr>
      <w:tblStyle w:val="27"/>
      <w:tblCellMar>
        <w:top w:w="0" w:type="dxa"/>
        <w:left w:w="108" w:type="dxa"/>
        <w:bottom w:w="0" w:type="dxa"/>
        <w:right w:w="108" w:type="dxa"/>
      </w:tblCellMar>
    </w:tblPr>
  </w:style>
  <w:style w:type="paragraph" w:styleId="7">
    <w:name w:val="List Number"/>
    <w:basedOn w:val="1"/>
    <w:unhideWhenUsed/>
    <w:uiPriority w:val="99"/>
    <w:pPr>
      <w:numPr>
        <w:ilvl w:val="0"/>
        <w:numId w:val="1"/>
      </w:numPr>
      <w:tabs>
        <w:tab w:val="left" w:pos="360"/>
      </w:tabs>
    </w:pPr>
  </w:style>
  <w:style w:type="paragraph" w:styleId="8">
    <w:name w:val="Normal Indent"/>
    <w:basedOn w:val="1"/>
    <w:next w:val="9"/>
    <w:link w:val="36"/>
    <w:uiPriority w:val="0"/>
    <w:pPr>
      <w:autoSpaceDE w:val="0"/>
      <w:autoSpaceDN w:val="0"/>
      <w:adjustRightInd w:val="0"/>
      <w:spacing w:line="640" w:lineRule="exact"/>
      <w:ind w:firstLine="585"/>
    </w:pPr>
    <w:rPr>
      <w:rFonts w:ascii="??_GB2312" w:eastAsia="Times New Roman"/>
      <w:sz w:val="32"/>
      <w:szCs w:val="32"/>
    </w:rPr>
  </w:style>
  <w:style w:type="paragraph" w:styleId="9">
    <w:name w:val="toc 4"/>
    <w:basedOn w:val="1"/>
    <w:next w:val="1"/>
    <w:qFormat/>
    <w:uiPriority w:val="0"/>
    <w:pPr>
      <w:tabs>
        <w:tab w:val="left" w:pos="1890"/>
        <w:tab w:val="right" w:leader="dot" w:pos="8296"/>
      </w:tabs>
      <w:ind w:left="630" w:leftChars="300"/>
    </w:pPr>
    <w:rPr>
      <w:rFonts w:ascii="Calibri" w:hAnsi="Calibri"/>
      <w:szCs w:val="22"/>
    </w:rPr>
  </w:style>
  <w:style w:type="paragraph" w:styleId="10">
    <w:name w:val="toa heading"/>
    <w:basedOn w:val="1"/>
    <w:next w:val="1"/>
    <w:qFormat/>
    <w:uiPriority w:val="99"/>
    <w:pPr>
      <w:spacing w:before="120"/>
    </w:pPr>
    <w:rPr>
      <w:rFonts w:ascii="Arial" w:hAnsi="Arial"/>
      <w:sz w:val="24"/>
    </w:rPr>
  </w:style>
  <w:style w:type="paragraph" w:styleId="11">
    <w:name w:val="annotation text"/>
    <w:basedOn w:val="1"/>
    <w:link w:val="37"/>
    <w:uiPriority w:val="0"/>
    <w:pPr>
      <w:jc w:val="left"/>
    </w:pPr>
  </w:style>
  <w:style w:type="paragraph" w:styleId="12">
    <w:name w:val="Body Text"/>
    <w:basedOn w:val="1"/>
    <w:next w:val="1"/>
    <w:link w:val="38"/>
    <w:uiPriority w:val="99"/>
    <w:rPr>
      <w:color w:val="993300"/>
      <w:sz w:val="24"/>
    </w:rPr>
  </w:style>
  <w:style w:type="paragraph" w:styleId="13">
    <w:name w:val="Body Text Indent"/>
    <w:basedOn w:val="1"/>
    <w:next w:val="14"/>
    <w:uiPriority w:val="0"/>
    <w:pPr>
      <w:ind w:firstLine="480"/>
    </w:pPr>
    <w:rPr>
      <w:rFonts w:ascii="宋体" w:hAnsi="宋体"/>
    </w:rPr>
  </w:style>
  <w:style w:type="paragraph" w:styleId="14">
    <w:name w:val="envelope return"/>
    <w:basedOn w:val="1"/>
    <w:unhideWhenUsed/>
    <w:qFormat/>
    <w:uiPriority w:val="99"/>
    <w:pPr>
      <w:snapToGrid w:val="0"/>
    </w:pPr>
    <w:rPr>
      <w:rFonts w:ascii="Cambria" w:hAnsi="Cambria" w:eastAsia="宋体" w:cs="Times New Roman"/>
    </w:rPr>
  </w:style>
  <w:style w:type="paragraph" w:styleId="15">
    <w:name w:val="Plain Text"/>
    <w:basedOn w:val="1"/>
    <w:link w:val="39"/>
    <w:qFormat/>
    <w:uiPriority w:val="0"/>
    <w:rPr>
      <w:rFonts w:ascii="宋体" w:hAnsi="Courier New" w:cs="Courier New"/>
      <w:szCs w:val="21"/>
    </w:rPr>
  </w:style>
  <w:style w:type="paragraph" w:styleId="16">
    <w:name w:val="Body Text Indent 2"/>
    <w:basedOn w:val="1"/>
    <w:qFormat/>
    <w:uiPriority w:val="0"/>
    <w:pPr>
      <w:spacing w:line="240" w:lineRule="auto"/>
      <w:ind w:left="-2" w:leftChars="-1" w:firstLine="720"/>
    </w:pPr>
    <w:rPr>
      <w:lang w:val="zh-CN"/>
    </w:rPr>
  </w:style>
  <w:style w:type="paragraph" w:styleId="17">
    <w:name w:val="Balloon Text"/>
    <w:basedOn w:val="1"/>
    <w:link w:val="40"/>
    <w:uiPriority w:val="0"/>
    <w:pPr>
      <w:spacing w:line="240" w:lineRule="auto"/>
    </w:pPr>
    <w:rPr>
      <w:sz w:val="18"/>
      <w:szCs w:val="18"/>
    </w:rPr>
  </w:style>
  <w:style w:type="paragraph" w:styleId="18">
    <w:name w:val="footer"/>
    <w:basedOn w:val="1"/>
    <w:link w:val="41"/>
    <w:uiPriority w:val="0"/>
    <w:pPr>
      <w:tabs>
        <w:tab w:val="center" w:pos="4153"/>
        <w:tab w:val="right" w:pos="8306"/>
      </w:tabs>
      <w:snapToGrid w:val="0"/>
      <w:jc w:val="left"/>
    </w:pPr>
    <w:rPr>
      <w:sz w:val="18"/>
      <w:szCs w:val="18"/>
    </w:rPr>
  </w:style>
  <w:style w:type="paragraph" w:styleId="19">
    <w:name w:val="header"/>
    <w:basedOn w:val="1"/>
    <w:link w:val="42"/>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20">
    <w:name w:val="toc 1"/>
    <w:basedOn w:val="1"/>
    <w:next w:val="1"/>
    <w:uiPriority w:val="39"/>
    <w:pPr>
      <w:spacing w:line="240" w:lineRule="auto"/>
    </w:pPr>
  </w:style>
  <w:style w:type="paragraph" w:styleId="21">
    <w:name w:val="Subtitle"/>
    <w:basedOn w:val="1"/>
    <w:next w:val="1"/>
    <w:qFormat/>
    <w:uiPriority w:val="11"/>
    <w:pPr>
      <w:spacing w:before="240" w:after="60" w:line="312" w:lineRule="auto"/>
      <w:jc w:val="center"/>
      <w:outlineLvl w:val="1"/>
    </w:pPr>
    <w:rPr>
      <w:rFonts w:ascii="Cambria" w:hAnsi="Cambria" w:eastAsia="宋体" w:cs="Times New Roman"/>
      <w:b/>
      <w:bCs/>
      <w:kern w:val="28"/>
      <w:sz w:val="32"/>
      <w:szCs w:val="32"/>
    </w:rPr>
  </w:style>
  <w:style w:type="paragraph" w:styleId="22">
    <w:name w:val="table of figures"/>
    <w:basedOn w:val="1"/>
    <w:next w:val="1"/>
    <w:uiPriority w:val="0"/>
    <w:pPr>
      <w:spacing w:line="360" w:lineRule="auto"/>
      <w:ind w:hanging="200"/>
    </w:pPr>
    <w:rPr>
      <w:rFonts w:ascii="宋体"/>
      <w:kern w:val="0"/>
      <w:sz w:val="20"/>
      <w:szCs w:val="20"/>
    </w:rPr>
  </w:style>
  <w:style w:type="paragraph" w:styleId="23">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4">
    <w:name w:val="Title"/>
    <w:basedOn w:val="1"/>
    <w:link w:val="43"/>
    <w:qFormat/>
    <w:uiPriority w:val="0"/>
    <w:pPr>
      <w:spacing w:before="240" w:after="60"/>
      <w:jc w:val="center"/>
      <w:outlineLvl w:val="0"/>
    </w:pPr>
    <w:rPr>
      <w:rFonts w:ascii="Cambria" w:hAnsi="Cambria"/>
      <w:b/>
      <w:bCs/>
      <w:sz w:val="32"/>
      <w:szCs w:val="32"/>
    </w:rPr>
  </w:style>
  <w:style w:type="paragraph" w:styleId="25">
    <w:name w:val="annotation subject"/>
    <w:basedOn w:val="11"/>
    <w:next w:val="11"/>
    <w:link w:val="44"/>
    <w:uiPriority w:val="0"/>
    <w:pPr>
      <w:spacing w:line="240" w:lineRule="auto"/>
    </w:pPr>
    <w:rPr>
      <w:b/>
      <w:bCs/>
      <w:szCs w:val="22"/>
    </w:rPr>
  </w:style>
  <w:style w:type="paragraph" w:styleId="26">
    <w:name w:val="Body Text First Indent 2"/>
    <w:basedOn w:val="13"/>
    <w:uiPriority w:val="0"/>
    <w:pPr>
      <w:ind w:firstLine="420"/>
    </w:pPr>
  </w:style>
  <w:style w:type="table" w:styleId="28">
    <w:name w:val="Table Grid"/>
    <w:basedOn w:val="27"/>
    <w:qFormat/>
    <w:uiPriority w:val="39"/>
    <w:pPr>
      <w:widowControl w:val="0"/>
      <w:jc w:val="both"/>
    </w:pPr>
    <w:tblPr>
      <w:tblStyle w:val="2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uiPriority w:val="0"/>
  </w:style>
  <w:style w:type="character" w:styleId="32">
    <w:name w:val="FollowedHyperlink"/>
    <w:uiPriority w:val="0"/>
    <w:rPr>
      <w:rFonts w:cs="Times New Roman"/>
      <w:color w:val="800080"/>
      <w:u w:val="none"/>
    </w:rPr>
  </w:style>
  <w:style w:type="character" w:styleId="33">
    <w:name w:val="Emphasis"/>
    <w:qFormat/>
    <w:uiPriority w:val="0"/>
    <w:rPr>
      <w:rFonts w:cs="Times New Roman"/>
    </w:rPr>
  </w:style>
  <w:style w:type="character" w:styleId="34">
    <w:name w:val="Hyperlink"/>
    <w:basedOn w:val="29"/>
    <w:uiPriority w:val="99"/>
    <w:rPr>
      <w:rFonts w:cs="Times New Roman"/>
      <w:color w:val="0000FF"/>
      <w:u w:val="none"/>
    </w:rPr>
  </w:style>
  <w:style w:type="character" w:customStyle="1" w:styleId="35">
    <w:name w:val="标题 6 Char"/>
    <w:link w:val="6"/>
    <w:semiHidden/>
    <w:uiPriority w:val="0"/>
    <w:rPr>
      <w:rFonts w:ascii="Cambria" w:hAnsi="Cambria" w:eastAsia="宋体" w:cs="Times New Roman"/>
      <w:b/>
      <w:bCs/>
      <w:kern w:val="2"/>
      <w:sz w:val="24"/>
      <w:szCs w:val="24"/>
    </w:rPr>
  </w:style>
  <w:style w:type="character" w:customStyle="1" w:styleId="36">
    <w:name w:val="正文缩进 Char"/>
    <w:link w:val="8"/>
    <w:uiPriority w:val="0"/>
    <w:rPr>
      <w:rFonts w:ascii="??_GB2312" w:eastAsia="Times New Roman"/>
      <w:kern w:val="2"/>
      <w:sz w:val="32"/>
      <w:szCs w:val="32"/>
    </w:rPr>
  </w:style>
  <w:style w:type="character" w:customStyle="1" w:styleId="37">
    <w:name w:val="批注文字 Char"/>
    <w:link w:val="11"/>
    <w:uiPriority w:val="0"/>
    <w:rPr>
      <w:kern w:val="2"/>
      <w:sz w:val="21"/>
      <w:szCs w:val="24"/>
    </w:rPr>
  </w:style>
  <w:style w:type="character" w:customStyle="1" w:styleId="38">
    <w:name w:val="正文文本 Char1"/>
    <w:link w:val="12"/>
    <w:uiPriority w:val="99"/>
    <w:rPr>
      <w:color w:val="993300"/>
      <w:kern w:val="2"/>
      <w:sz w:val="24"/>
      <w:szCs w:val="24"/>
    </w:rPr>
  </w:style>
  <w:style w:type="character" w:customStyle="1" w:styleId="39">
    <w:name w:val="纯文本 Char"/>
    <w:link w:val="15"/>
    <w:qFormat/>
    <w:uiPriority w:val="0"/>
    <w:rPr>
      <w:rFonts w:ascii="宋体" w:hAnsi="Courier New" w:cs="Courier New"/>
      <w:kern w:val="2"/>
      <w:sz w:val="21"/>
      <w:szCs w:val="21"/>
    </w:rPr>
  </w:style>
  <w:style w:type="character" w:customStyle="1" w:styleId="40">
    <w:name w:val="批注框文本 Char1"/>
    <w:link w:val="17"/>
    <w:uiPriority w:val="0"/>
    <w:rPr>
      <w:kern w:val="2"/>
      <w:sz w:val="18"/>
      <w:szCs w:val="18"/>
    </w:rPr>
  </w:style>
  <w:style w:type="character" w:customStyle="1" w:styleId="41">
    <w:name w:val="页脚 Char"/>
    <w:link w:val="18"/>
    <w:uiPriority w:val="0"/>
    <w:rPr>
      <w:rFonts w:eastAsia="宋体"/>
      <w:kern w:val="2"/>
      <w:sz w:val="18"/>
      <w:szCs w:val="18"/>
      <w:lang w:val="en-US" w:eastAsia="zh-CN" w:bidi="ar-SA"/>
    </w:rPr>
  </w:style>
  <w:style w:type="character" w:customStyle="1" w:styleId="42">
    <w:name w:val="页眉 Char"/>
    <w:link w:val="19"/>
    <w:locked/>
    <w:uiPriority w:val="0"/>
    <w:rPr>
      <w:rFonts w:eastAsia="宋体"/>
      <w:kern w:val="2"/>
      <w:sz w:val="18"/>
      <w:szCs w:val="18"/>
      <w:lang w:val="en-US" w:eastAsia="zh-CN" w:bidi="ar-SA"/>
    </w:rPr>
  </w:style>
  <w:style w:type="character" w:customStyle="1" w:styleId="43">
    <w:name w:val="标题 Char1"/>
    <w:link w:val="24"/>
    <w:uiPriority w:val="0"/>
    <w:rPr>
      <w:rFonts w:ascii="Cambria" w:hAnsi="Cambria"/>
      <w:b/>
      <w:bCs/>
      <w:kern w:val="2"/>
      <w:sz w:val="32"/>
      <w:szCs w:val="32"/>
    </w:rPr>
  </w:style>
  <w:style w:type="character" w:customStyle="1" w:styleId="44">
    <w:name w:val="批注主题 Char"/>
    <w:link w:val="25"/>
    <w:qFormat/>
    <w:uiPriority w:val="0"/>
    <w:rPr>
      <w:b/>
      <w:bCs/>
      <w:kern w:val="2"/>
      <w:sz w:val="21"/>
      <w:szCs w:val="22"/>
    </w:rPr>
  </w:style>
  <w:style w:type="paragraph" w:customStyle="1" w:styleId="45">
    <w:name w:val="样式 仿宋_GB2312 四号 行距: 1.5 倍行距"/>
    <w:basedOn w:val="1"/>
    <w:uiPriority w:val="0"/>
    <w:pPr>
      <w:spacing w:line="360" w:lineRule="auto"/>
      <w:ind w:firstLine="560" w:firstLineChars="200"/>
    </w:pPr>
    <w:rPr>
      <w:rFonts w:ascii="仿宋_GB2312" w:eastAsia="仿宋_GB2312" w:cs="宋体"/>
      <w:sz w:val="28"/>
      <w:szCs w:val="20"/>
    </w:rPr>
  </w:style>
  <w:style w:type="paragraph" w:customStyle="1" w:styleId="46">
    <w:name w:val="09正文_wh"/>
    <w:qFormat/>
    <w:uiPriority w:val="0"/>
    <w:pPr>
      <w:spacing w:line="300" w:lineRule="auto"/>
      <w:ind w:firstLine="200" w:firstLineChars="200"/>
      <w:jc w:val="both"/>
    </w:pPr>
    <w:rPr>
      <w:sz w:val="28"/>
      <w:lang w:val="en-US" w:eastAsia="zh-CN" w:bidi="ar-SA"/>
    </w:rPr>
  </w:style>
  <w:style w:type="paragraph" w:customStyle="1" w:styleId="47">
    <w:name w:val="表格文字"/>
    <w:basedOn w:val="48"/>
    <w:next w:val="1"/>
    <w:uiPriority w:val="0"/>
    <w:pPr>
      <w:spacing w:before="25" w:after="25" w:line="300" w:lineRule="auto"/>
    </w:pPr>
    <w:rPr>
      <w:rFonts w:ascii="宋体" w:hAnsi="宋体" w:cs="宋体"/>
      <w:spacing w:val="10"/>
      <w:kern w:val="0"/>
      <w:sz w:val="24"/>
    </w:rPr>
  </w:style>
  <w:style w:type="paragraph" w:customStyle="1" w:styleId="48">
    <w:name w:val="正文 New"/>
    <w:qFormat/>
    <w:uiPriority w:val="99"/>
    <w:pPr>
      <w:widowControl w:val="0"/>
      <w:jc w:val="both"/>
    </w:pPr>
    <w:rPr>
      <w:lang w:val="en-US" w:eastAsia="zh-CN" w:bidi="ar-SA"/>
    </w:rPr>
  </w:style>
  <w:style w:type="character" w:customStyle="1" w:styleId="49">
    <w:name w:val="font01"/>
    <w:uiPriority w:val="0"/>
    <w:rPr>
      <w:rFonts w:ascii="Arial" w:hAnsi="Arial" w:cs="Arial"/>
      <w:color w:val="000000"/>
      <w:sz w:val="18"/>
      <w:szCs w:val="18"/>
      <w:u w:val="none"/>
    </w:rPr>
  </w:style>
  <w:style w:type="character" w:customStyle="1" w:styleId="50">
    <w:name w:val="font11"/>
    <w:uiPriority w:val="0"/>
    <w:rPr>
      <w:rFonts w:ascii="宋体" w:hAnsi="宋体" w:eastAsia="宋体" w:cs="宋体"/>
      <w:color w:val="000000"/>
      <w:sz w:val="18"/>
      <w:szCs w:val="18"/>
      <w:u w:val="none"/>
    </w:rPr>
  </w:style>
  <w:style w:type="character" w:customStyle="1" w:styleId="51">
    <w:name w:val="number"/>
    <w:uiPriority w:val="0"/>
    <w:rPr>
      <w:rFonts w:cs="Times New Roman"/>
      <w:color w:val="FF8833"/>
      <w:sz w:val="14"/>
      <w:szCs w:val="14"/>
    </w:rPr>
  </w:style>
  <w:style w:type="character" w:customStyle="1" w:styleId="52">
    <w:name w:val="beforeinfotext"/>
    <w:uiPriority w:val="0"/>
    <w:rPr>
      <w:rFonts w:cs="Times New Roman"/>
      <w:color w:val="666666"/>
    </w:rPr>
  </w:style>
  <w:style w:type="character" w:customStyle="1" w:styleId="53">
    <w:name w:val="phone"/>
    <w:uiPriority w:val="0"/>
    <w:rPr>
      <w:rFonts w:cs="Times New Roman"/>
      <w:color w:val="FF8833"/>
      <w:sz w:val="14"/>
      <w:szCs w:val="14"/>
    </w:rPr>
  </w:style>
  <w:style w:type="character" w:customStyle="1" w:styleId="54">
    <w:name w:val="proollist"/>
    <w:uiPriority w:val="0"/>
    <w:rPr>
      <w:rFonts w:cs="Times New Roman"/>
    </w:rPr>
  </w:style>
  <w:style w:type="character" w:customStyle="1" w:styleId="55">
    <w:name w:val="stclosebtn"/>
    <w:uiPriority w:val="0"/>
    <w:rPr>
      <w:rFonts w:cs="Times New Roman"/>
    </w:rPr>
  </w:style>
  <w:style w:type="character" w:customStyle="1" w:styleId="56">
    <w:name w:val=" Char Char12"/>
    <w:uiPriority w:val="0"/>
    <w:rPr>
      <w:color w:val="993300"/>
      <w:kern w:val="2"/>
      <w:sz w:val="24"/>
      <w:szCs w:val="24"/>
    </w:rPr>
  </w:style>
  <w:style w:type="paragraph" w:customStyle="1" w:styleId="57">
    <w:name w:val="Table Paragraph"/>
    <w:basedOn w:val="1"/>
    <w:qFormat/>
    <w:uiPriority w:val="0"/>
    <w:pPr>
      <w:autoSpaceDE w:val="0"/>
      <w:autoSpaceDN w:val="0"/>
      <w:spacing w:before="7" w:line="240" w:lineRule="auto"/>
      <w:ind w:left="107"/>
      <w:jc w:val="left"/>
    </w:pPr>
    <w:rPr>
      <w:rFonts w:ascii="宋体" w:hAnsi="宋体" w:cs="宋体"/>
      <w:kern w:val="0"/>
      <w:sz w:val="22"/>
      <w:szCs w:val="22"/>
      <w:lang w:val="zh-CN" w:bidi="zh-CN"/>
    </w:rPr>
  </w:style>
  <w:style w:type="paragraph" w:customStyle="1" w:styleId="58">
    <w:name w:val="目录"/>
    <w:basedOn w:val="1"/>
    <w:qFormat/>
    <w:uiPriority w:val="0"/>
    <w:pPr>
      <w:widowControl/>
      <w:spacing w:line="240" w:lineRule="auto"/>
      <w:jc w:val="center"/>
    </w:pPr>
    <w:rPr>
      <w:rFonts w:ascii="宋体"/>
      <w:b/>
      <w:kern w:val="0"/>
      <w:sz w:val="36"/>
      <w:szCs w:val="20"/>
    </w:rPr>
  </w:style>
  <w:style w:type="character" w:customStyle="1" w:styleId="59">
    <w:name w:val="未处理的提及"/>
    <w:unhideWhenUsed/>
    <w:uiPriority w:val="99"/>
    <w:rPr>
      <w:color w:val="605E5C"/>
      <w:shd w:val="clear" w:color="auto" w:fill="E1DFDD"/>
    </w:rPr>
  </w:style>
  <w:style w:type="paragraph" w:customStyle="1" w:styleId="60">
    <w:name w:val="p15"/>
    <w:basedOn w:val="1"/>
    <w:qFormat/>
    <w:uiPriority w:val="99"/>
    <w:pPr>
      <w:widowControl/>
      <w:spacing w:line="240" w:lineRule="auto"/>
    </w:pPr>
    <w:rPr>
      <w:kern w:val="0"/>
      <w:szCs w:val="21"/>
    </w:rPr>
  </w:style>
  <w:style w:type="character" w:customStyle="1" w:styleId="61">
    <w:name w:val="批注主题 字符"/>
    <w:uiPriority w:val="0"/>
    <w:rPr>
      <w:b/>
      <w:bCs/>
      <w:kern w:val="2"/>
      <w:sz w:val="21"/>
      <w:szCs w:val="24"/>
    </w:rPr>
  </w:style>
  <w:style w:type="paragraph" w:customStyle="1" w:styleId="62">
    <w:name w:val="表注1"/>
    <w:basedOn w:val="1"/>
    <w:uiPriority w:val="0"/>
    <w:pPr>
      <w:adjustRightInd w:val="0"/>
      <w:snapToGrid w:val="0"/>
      <w:spacing w:beforeLines="50" w:line="300" w:lineRule="auto"/>
      <w:ind w:left="350" w:hanging="350" w:hangingChars="350"/>
    </w:pPr>
    <w:rPr>
      <w:rFonts w:ascii="宋体" w:eastAsia="仿宋_GB2312"/>
      <w:bCs/>
      <w:color w:val="000000"/>
      <w:kern w:val="0"/>
      <w:sz w:val="24"/>
    </w:rPr>
  </w:style>
  <w:style w:type="paragraph" w:customStyle="1" w:styleId="63">
    <w:name w:val="样式 WG标题3 + 行距: 固定值 18 磅"/>
    <w:basedOn w:val="1"/>
    <w:uiPriority w:val="0"/>
    <w:pPr>
      <w:autoSpaceDE w:val="0"/>
      <w:autoSpaceDN w:val="0"/>
      <w:adjustRightInd w:val="0"/>
      <w:spacing w:line="360" w:lineRule="exact"/>
      <w:ind w:firstLine="200" w:firstLineChars="200"/>
      <w:textAlignment w:val="baseline"/>
      <w:outlineLvl w:val="2"/>
    </w:pPr>
    <w:rPr>
      <w:rFonts w:ascii="宋体" w:cs="宋体"/>
      <w:b/>
      <w:bCs/>
      <w:color w:val="000000"/>
      <w:kern w:val="20"/>
      <w:sz w:val="24"/>
      <w:szCs w:val="20"/>
    </w:rPr>
  </w:style>
  <w:style w:type="paragraph" w:customStyle="1" w:styleId="64">
    <w:name w:val="表格文字中"/>
    <w:basedOn w:val="1"/>
    <w:uiPriority w:val="0"/>
    <w:pPr>
      <w:adjustRightInd w:val="0"/>
      <w:snapToGrid w:val="0"/>
      <w:spacing w:line="240" w:lineRule="auto"/>
      <w:ind w:left="22" w:leftChars="8"/>
      <w:jc w:val="center"/>
    </w:pPr>
    <w:rPr>
      <w:rFonts w:ascii="宋体"/>
      <w:kern w:val="0"/>
      <w:sz w:val="24"/>
    </w:rPr>
  </w:style>
  <w:style w:type="character" w:customStyle="1" w:styleId="65">
    <w:name w:val="正文文本 Char"/>
    <w:uiPriority w:val="99"/>
    <w:rPr>
      <w:kern w:val="2"/>
      <w:sz w:val="21"/>
      <w:szCs w:val="24"/>
    </w:rPr>
  </w:style>
  <w:style w:type="character" w:customStyle="1" w:styleId="66">
    <w:name w:val="noticepurchasetime-noticepurchasetime"/>
    <w:uiPriority w:val="0"/>
  </w:style>
  <w:style w:type="paragraph" w:customStyle="1" w:styleId="67">
    <w:name w:val="u-content"/>
    <w:basedOn w:val="1"/>
    <w:uiPriority w:val="0"/>
    <w:pPr>
      <w:widowControl/>
      <w:spacing w:before="100" w:beforeAutospacing="1" w:after="100" w:afterAutospacing="1" w:line="240" w:lineRule="auto"/>
      <w:jc w:val="left"/>
    </w:pPr>
    <w:rPr>
      <w:rFonts w:ascii="宋体" w:hAnsi="宋体" w:cs="宋体"/>
      <w:kern w:val="0"/>
      <w:sz w:val="24"/>
    </w:rPr>
  </w:style>
  <w:style w:type="character" w:customStyle="1" w:styleId="68">
    <w:name w:val="u-content1"/>
    <w:uiPriority w:val="0"/>
  </w:style>
  <w:style w:type="character" w:customStyle="1" w:styleId="69">
    <w:name w:val="noticebidtime-bidaddress"/>
    <w:uiPriority w:val="0"/>
  </w:style>
  <w:style w:type="paragraph" w:customStyle="1" w:styleId="70">
    <w:name w:val="_Style 1"/>
    <w:basedOn w:val="1"/>
    <w:qFormat/>
    <w:uiPriority w:val="0"/>
    <w:pPr>
      <w:spacing w:line="240" w:lineRule="auto"/>
      <w:ind w:firstLine="420" w:firstLineChars="200"/>
    </w:pPr>
    <w:rPr>
      <w:rFonts w:ascii="Calibri" w:hAnsi="Calibri"/>
      <w:szCs w:val="22"/>
    </w:rPr>
  </w:style>
  <w:style w:type="paragraph" w:customStyle="1" w:styleId="71">
    <w:name w:val="BodyText"/>
    <w:basedOn w:val="1"/>
    <w:next w:val="1"/>
    <w:qFormat/>
    <w:uiPriority w:val="99"/>
    <w:pPr>
      <w:spacing w:line="240" w:lineRule="auto"/>
      <w:jc w:val="left"/>
    </w:pPr>
    <w:rPr>
      <w:rFonts w:ascii="Calibri" w:hAnsi="Calibri"/>
      <w:b/>
    </w:rPr>
  </w:style>
  <w:style w:type="character" w:customStyle="1" w:styleId="72">
    <w:name w:val="正文文本_"/>
    <w:link w:val="73"/>
    <w:unhideWhenUsed/>
    <w:uiPriority w:val="0"/>
    <w:rPr>
      <w:rFonts w:eastAsia="Times New Roman"/>
      <w:sz w:val="11"/>
      <w:shd w:val="clear" w:color="auto" w:fill="FFFFFF"/>
    </w:rPr>
  </w:style>
  <w:style w:type="paragraph" w:customStyle="1" w:styleId="73">
    <w:name w:val="正文文本1"/>
    <w:basedOn w:val="1"/>
    <w:link w:val="72"/>
    <w:unhideWhenUsed/>
    <w:uiPriority w:val="0"/>
    <w:pPr>
      <w:shd w:val="clear" w:color="auto" w:fill="FFFFFF"/>
      <w:spacing w:line="240" w:lineRule="atLeast"/>
      <w:jc w:val="left"/>
    </w:pPr>
    <w:rPr>
      <w:rFonts w:eastAsia="Times New Roman"/>
      <w:kern w:val="0"/>
      <w:sz w:val="11"/>
      <w:szCs w:val="20"/>
    </w:rPr>
  </w:style>
  <w:style w:type="paragraph" w:customStyle="1" w:styleId="74">
    <w:name w:val="※正文"/>
    <w:basedOn w:val="1"/>
    <w:next w:val="1"/>
    <w:qFormat/>
    <w:uiPriority w:val="0"/>
    <w:pPr>
      <w:widowControl/>
      <w:wordWrap w:val="0"/>
      <w:spacing w:line="400" w:lineRule="exact"/>
    </w:pPr>
    <w:rPr>
      <w:rFonts w:ascii="华文仿宋" w:hAnsi="华文仿宋" w:eastAsia="华文仿宋" w:cs="Times New Roman"/>
      <w:sz w:val="28"/>
      <w:szCs w:val="28"/>
    </w:rPr>
  </w:style>
  <w:style w:type="character" w:customStyle="1" w:styleId="75">
    <w:name w:val="批注框文本 Char"/>
    <w:uiPriority w:val="0"/>
    <w:rPr>
      <w:kern w:val="2"/>
      <w:sz w:val="18"/>
      <w:szCs w:val="18"/>
    </w:rPr>
  </w:style>
  <w:style w:type="table" w:customStyle="1" w:styleId="76">
    <w:name w:val="网格型1"/>
    <w:basedOn w:val="27"/>
    <w:uiPriority w:val="39"/>
    <w:rPr>
      <w:rFonts w:eastAsia="黑体"/>
    </w:rPr>
    <w:tblPr>
      <w:tblStyle w:val="2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7">
    <w:name w:val="Char1"/>
    <w:basedOn w:val="1"/>
    <w:qFormat/>
    <w:uiPriority w:val="0"/>
    <w:rPr>
      <w:szCs w:val="21"/>
    </w:rPr>
  </w:style>
  <w:style w:type="paragraph" w:customStyle="1" w:styleId="78">
    <w:name w:val="样式 10 磅"/>
    <w:qFormat/>
    <w:uiPriority w:val="0"/>
    <w:pPr>
      <w:widowControl w:val="0"/>
      <w:jc w:val="both"/>
    </w:pPr>
    <w:rPr>
      <w:rFonts w:ascii="Calibri" w:hAnsi="Calibri"/>
      <w:kern w:val="2"/>
      <w:sz w:val="21"/>
      <w:szCs w:val="24"/>
      <w:lang w:val="en-US" w:eastAsia="zh-CN" w:bidi="ar-SA"/>
    </w:rPr>
  </w:style>
  <w:style w:type="character" w:customStyle="1" w:styleId="79">
    <w:name w:val="标题 Char"/>
    <w:uiPriority w:val="0"/>
    <w:rPr>
      <w:rFonts w:ascii="Cambria" w:hAnsi="Cambria"/>
      <w:b/>
      <w:bCs/>
      <w:kern w:val="2"/>
      <w:sz w:val="32"/>
      <w:szCs w:val="32"/>
    </w:rPr>
  </w:style>
  <w:style w:type="paragraph" w:styleId="80">
    <w:name w:val=""/>
    <w:basedOn w:val="2"/>
    <w:next w:val="1"/>
    <w:unhideWhenUsed/>
    <w:qFormat/>
    <w:uiPriority w:val="39"/>
    <w:pPr>
      <w:keepNext/>
      <w:keepLines/>
      <w:widowControl/>
      <w:tabs>
        <w:tab w:val="clear" w:pos="432"/>
        <w:tab w:val="clear" w:pos="576"/>
      </w:tabs>
      <w:spacing w:before="240" w:line="259" w:lineRule="auto"/>
      <w:ind w:left="0" w:firstLine="0"/>
      <w:jc w:val="left"/>
      <w:outlineLvl w:val="9"/>
    </w:pPr>
    <w:rPr>
      <w:rFonts w:ascii="Calibri Light" w:hAnsi="Calibri Light" w:eastAsia="宋体" w:cs="Times New Roman"/>
      <w:color w:val="2E74B5"/>
      <w:kern w:val="0"/>
      <w:sz w:val="32"/>
      <w:szCs w:val="32"/>
    </w:rPr>
  </w:style>
  <w:style w:type="paragraph" w:styleId="81">
    <w:name w:val="List Paragraph"/>
    <w:basedOn w:val="1"/>
    <w:qFormat/>
    <w:uiPriority w:val="34"/>
    <w:pPr>
      <w:ind w:firstLine="420" w:firstLineChars="200"/>
    </w:pPr>
  </w:style>
  <w:style w:type="character" w:customStyle="1" w:styleId="82">
    <w:name w:val="标题 1 Char1"/>
    <w:qFormat/>
    <w:uiPriority w:val="0"/>
    <w:rPr>
      <w:rFonts w:ascii="Times New Roman" w:hAnsi="Times New Roman" w:eastAsia="宋体" w:cs="Times New Roman"/>
      <w:b/>
      <w:bCs/>
      <w:kern w:val="44"/>
      <w:sz w:val="32"/>
      <w:szCs w:val="44"/>
    </w:rPr>
  </w:style>
  <w:style w:type="character" w:customStyle="1" w:styleId="83">
    <w:name w:val="NormalCharacter"/>
    <w:qFormat/>
    <w:uiPriority w:val="0"/>
    <w:rPr>
      <w:rFonts w:ascii="Calibri" w:hAnsi="Calibri" w:eastAsia="宋体" w:cs="宋体"/>
      <w:kern w:val="2"/>
      <w:sz w:val="21"/>
      <w:szCs w:val="24"/>
      <w:lang w:val="en-US" w:eastAsia="zh-CN" w:bidi="ar-SA"/>
    </w:rPr>
  </w:style>
  <w:style w:type="character" w:customStyle="1" w:styleId="84">
    <w:name w:val="font41"/>
    <w:basedOn w:val="29"/>
    <w:uiPriority w:val="0"/>
    <w:rPr>
      <w:rFonts w:hint="eastAsia" w:ascii="宋体" w:hAnsi="宋体" w:eastAsia="宋体" w:cs="宋体"/>
      <w:color w:val="000000"/>
      <w:sz w:val="22"/>
      <w:szCs w:val="22"/>
      <w:u w:val="none"/>
    </w:rPr>
  </w:style>
  <w:style w:type="character" w:customStyle="1" w:styleId="85">
    <w:name w:val="font81"/>
    <w:basedOn w:val="29"/>
    <w:uiPriority w:val="0"/>
    <w:rPr>
      <w:rFonts w:hint="eastAsia" w:ascii="宋体" w:hAnsi="宋体" w:eastAsia="宋体" w:cs="宋体"/>
      <w:color w:val="000000"/>
      <w:sz w:val="22"/>
      <w:szCs w:val="22"/>
      <w:u w:val="none"/>
    </w:rPr>
  </w:style>
  <w:style w:type="character" w:customStyle="1" w:styleId="86">
    <w:name w:val="font21"/>
    <w:basedOn w:val="29"/>
    <w:uiPriority w:val="0"/>
    <w:rPr>
      <w:rFonts w:hint="eastAsia" w:ascii="宋体" w:hAnsi="宋体" w:eastAsia="宋体" w:cs="宋体"/>
      <w:color w:val="000000"/>
      <w:sz w:val="21"/>
      <w:szCs w:val="21"/>
      <w:u w:val="none"/>
    </w:rPr>
  </w:style>
  <w:style w:type="paragraph" w:customStyle="1" w:styleId="87">
    <w:name w:val="附件正文"/>
    <w:basedOn w:val="1"/>
    <w:qFormat/>
    <w:uiPriority w:val="0"/>
    <w:pPr>
      <w:snapToGrid w:val="0"/>
      <w:spacing w:line="360" w:lineRule="auto"/>
    </w:pPr>
    <w:rPr>
      <w:rFonts w:ascii="宋体" w:hAnsi="宋体"/>
      <w:bCs/>
      <w:kern w:val="0"/>
      <w:sz w:val="24"/>
    </w:rPr>
  </w:style>
  <w:style w:type="paragraph" w:customStyle="1" w:styleId="88">
    <w:name w:val="null3"/>
    <w:qFormat/>
    <w:uiPriority w:val="0"/>
    <w:rPr>
      <w:rFonts w:hint="eastAsia" w:ascii="Calibri" w:hAnsi="Calibri" w:eastAsia="宋体" w:cs="Times New Roman"/>
      <w:lang w:val="en-US" w:eastAsia="zh-Hans"/>
    </w:rPr>
  </w:style>
  <w:style w:type="paragraph" w:customStyle="1" w:styleId="89">
    <w:name w:val="WPSOffice手动目录 1"/>
    <w:uiPriority w:val="0"/>
    <w:pPr>
      <w:ind w:leftChars="0"/>
    </w:pPr>
    <w:rPr>
      <w:sz w:val="20"/>
      <w:szCs w:val="20"/>
    </w:rPr>
  </w:style>
  <w:style w:type="paragraph" w:customStyle="1" w:styleId="90">
    <w:name w:val="表格"/>
    <w:basedOn w:val="1"/>
    <w:qFormat/>
    <w:uiPriority w:val="99"/>
    <w:pPr>
      <w:spacing w:line="240" w:lineRule="auto"/>
      <w:ind w:firstLine="0" w:firstLineChars="0"/>
      <w:jc w:val="center"/>
    </w:pPr>
    <w:rPr>
      <w:sz w:val="24"/>
    </w:rPr>
  </w:style>
  <w:style w:type="paragraph" w:customStyle="1" w:styleId="91">
    <w:name w:val="Default"/>
    <w:next w:val="92"/>
    <w:qFormat/>
    <w:uiPriority w:val="0"/>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 w:type="paragraph" w:styleId="92">
    <w:name w:val="Intense Quote"/>
    <w:basedOn w:val="1"/>
    <w:next w:val="1"/>
    <w:qFormat/>
    <w:uiPriority w:val="30"/>
    <w:pPr>
      <w:pBdr>
        <w:top w:val="single" w:color="4F81BD" w:sz="4" w:space="10"/>
        <w:bottom w:val="single" w:color="4F81BD" w:sz="4" w:space="10"/>
      </w:pBdr>
      <w:spacing w:before="360" w:after="360"/>
      <w:ind w:left="864" w:right="864"/>
      <w:jc w:val="center"/>
    </w:pPr>
    <w:rPr>
      <w:i/>
      <w:iCs/>
      <w:color w:val="4F81BD"/>
    </w:rPr>
  </w:style>
  <w:style w:type="paragraph" w:customStyle="1" w:styleId="93">
    <w:name w:val="列表段落1"/>
    <w:basedOn w:val="1"/>
    <w:qFormat/>
    <w:uiPriority w:val="34"/>
    <w:pPr>
      <w:ind w:firstLine="420" w:firstLineChars="200"/>
    </w:pPr>
    <w:rPr>
      <w:rFonts w:ascii="等线" w:hAnsi="等线"/>
    </w:rPr>
  </w:style>
  <w:style w:type="paragraph" w:customStyle="1" w:styleId="94">
    <w:name w:val="_Style 2"/>
    <w:basedOn w:val="1"/>
    <w:qFormat/>
    <w:uiPriority w:val="34"/>
    <w:pPr>
      <w:ind w:firstLine="420" w:firstLineChars="200"/>
    </w:pPr>
    <w:rPr>
      <w:rFonts w:ascii="Calibri" w:hAnsi="Calibri" w:eastAsia="宋体" w:cs="黑体"/>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5</Pages>
  <Words>2778</Words>
  <Characters>2790</Characters>
  <Lines>339</Lines>
  <Paragraphs>95</Paragraphs>
  <TotalTime>16</TotalTime>
  <ScaleCrop>false</ScaleCrop>
  <LinksUpToDate>false</LinksUpToDate>
  <CharactersWithSpaces>3081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2022-11-05T13:41:00Z</dcterms:created>
  <dc:creator>Windows 用户</dc:creator>
  <cp:lastModifiedBy>123</cp:lastModifiedBy>
  <cp:lastPrinted>2024-07-31T00:19:27Z</cp:lastPrinted>
  <dcterms:modified xsi:type="dcterms:W3CDTF">2025-09-08T07:48:23Z</dcterms:modified>
  <dc:title>项目编号：</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DBF32C503E3D4F1683D48BB7B81C3606_13</vt:lpwstr>
  </property>
  <property fmtid="{D5CDD505-2E9C-101B-9397-08002B2CF9AE}" pid="4" name="KSOTemplateDocerSaveRecord">
    <vt:lpwstr>eyJoZGlkIjoiMjlmOGIyNDkwN2VkY2NiY2RjODBlMjM4Y2YwMTQyMjkiLCJ1c2VySWQiOiIxMjAwNDUzOTU1In0=</vt:lpwstr>
  </property>
</Properties>
</file>