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74C622">
      <w:pPr>
        <w:pStyle w:val="2"/>
        <w:spacing w:before="0" w:after="0" w:line="48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bookmarkStart w:id="0" w:name="_Toc32013"/>
      <w:r>
        <w:rPr>
          <w:rFonts w:hint="eastAsia" w:ascii="宋体" w:hAnsi="宋体" w:eastAsia="宋体" w:cs="宋体"/>
          <w:b/>
          <w:bCs w:val="0"/>
          <w:color w:val="auto"/>
          <w:kern w:val="2"/>
          <w:sz w:val="36"/>
          <w:szCs w:val="36"/>
          <w:highlight w:val="none"/>
          <w:lang w:val="en-US" w:eastAsia="zh-CN" w:bidi="ar-SA"/>
        </w:rPr>
        <w:t>第五章  合同条款</w:t>
      </w:r>
      <w:bookmarkEnd w:id="0"/>
    </w:p>
    <w:p w14:paraId="5F6D11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highlight w:val="none"/>
        </w:rPr>
      </w:pPr>
    </w:p>
    <w:p w14:paraId="4A944F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0"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sz w:val="36"/>
          <w:szCs w:val="36"/>
          <w:highlight w:val="none"/>
          <w:lang w:val="en-US" w:eastAsia="zh-CN"/>
        </w:rPr>
      </w:pPr>
    </w:p>
    <w:p w14:paraId="210587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0"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sz w:val="36"/>
          <w:szCs w:val="36"/>
          <w:highlight w:val="none"/>
          <w:lang w:val="en-US" w:eastAsia="zh-CN"/>
        </w:rPr>
      </w:pPr>
    </w:p>
    <w:p w14:paraId="6E8351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0"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sz w:val="36"/>
          <w:szCs w:val="36"/>
          <w:highlight w:val="none"/>
          <w:lang w:val="en-US" w:eastAsia="zh-CN"/>
        </w:rPr>
      </w:pPr>
    </w:p>
    <w:p w14:paraId="10457B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0"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  <w:lang w:val="en-US" w:eastAsia="zh-CN"/>
        </w:rPr>
        <w:t>华州区消防救援大队食堂原材料配送服务项目</w:t>
      </w:r>
    </w:p>
    <w:p w14:paraId="04C7E59D"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outlineLvl w:val="9"/>
        <w:rPr>
          <w:rFonts w:hint="eastAsia" w:ascii="宋体" w:hAnsi="宋体" w:eastAsia="宋体" w:cs="宋体"/>
          <w:color w:val="auto"/>
          <w:highlight w:val="none"/>
        </w:rPr>
      </w:pPr>
    </w:p>
    <w:p w14:paraId="61A61566">
      <w:pPr>
        <w:pStyle w:val="3"/>
        <w:rPr>
          <w:rFonts w:hint="eastAsia" w:ascii="宋体" w:hAnsi="宋体" w:eastAsia="宋体" w:cs="宋体"/>
          <w:highlight w:val="none"/>
        </w:rPr>
      </w:pPr>
    </w:p>
    <w:p w14:paraId="15BE326D">
      <w:pPr>
        <w:pageBreakBefore w:val="0"/>
        <w:kinsoku/>
        <w:wordWrap/>
        <w:overflowPunct/>
        <w:topLinePunct w:val="0"/>
        <w:autoSpaceDE/>
        <w:autoSpaceDN/>
        <w:bidi w:val="0"/>
        <w:textAlignment w:val="auto"/>
        <w:rPr>
          <w:rFonts w:hint="eastAsia" w:ascii="宋体" w:hAnsi="宋体" w:eastAsia="宋体" w:cs="宋体"/>
          <w:color w:val="auto"/>
          <w:highlight w:val="none"/>
        </w:rPr>
      </w:pPr>
    </w:p>
    <w:p w14:paraId="1151AB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0"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  <w:lang w:val="en-US" w:eastAsia="zh-CN"/>
        </w:rPr>
        <w:t>（示范文本，最终已签订为准）</w:t>
      </w:r>
    </w:p>
    <w:p w14:paraId="29B92DDB">
      <w:pPr>
        <w:pageBreakBefore w:val="0"/>
        <w:kinsoku/>
        <w:wordWrap/>
        <w:overflowPunct/>
        <w:topLinePunct w:val="0"/>
        <w:autoSpaceDE/>
        <w:autoSpaceDN/>
        <w:bidi w:val="0"/>
        <w:ind w:firstLine="480"/>
        <w:textAlignment w:val="auto"/>
        <w:rPr>
          <w:rFonts w:hint="eastAsia" w:ascii="宋体" w:hAnsi="宋体" w:eastAsia="宋体" w:cs="宋体"/>
          <w:highlight w:val="none"/>
        </w:rPr>
      </w:pPr>
    </w:p>
    <w:p w14:paraId="587D9A1A">
      <w:pPr>
        <w:pageBreakBefore w:val="0"/>
        <w:kinsoku/>
        <w:wordWrap/>
        <w:overflowPunct/>
        <w:topLinePunct w:val="0"/>
        <w:autoSpaceDE/>
        <w:autoSpaceDN/>
        <w:bidi w:val="0"/>
        <w:ind w:firstLine="480"/>
        <w:textAlignment w:val="auto"/>
        <w:rPr>
          <w:rFonts w:hint="eastAsia" w:ascii="宋体" w:hAnsi="宋体" w:eastAsia="宋体" w:cs="宋体"/>
          <w:highlight w:val="none"/>
        </w:rPr>
      </w:pPr>
    </w:p>
    <w:p w14:paraId="7C34F312">
      <w:pPr>
        <w:pageBreakBefore w:val="0"/>
        <w:kinsoku/>
        <w:wordWrap/>
        <w:overflowPunct/>
        <w:topLinePunct w:val="0"/>
        <w:autoSpaceDE/>
        <w:autoSpaceDN/>
        <w:bidi w:val="0"/>
        <w:ind w:firstLine="480"/>
        <w:textAlignment w:val="auto"/>
        <w:rPr>
          <w:rFonts w:hint="eastAsia" w:ascii="宋体" w:hAnsi="宋体" w:eastAsia="宋体" w:cs="宋体"/>
          <w:highlight w:val="none"/>
        </w:rPr>
      </w:pPr>
    </w:p>
    <w:p w14:paraId="4C7BBDC2"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auto"/>
        <w:ind w:firstLine="480"/>
        <w:textAlignment w:val="auto"/>
        <w:rPr>
          <w:rFonts w:hint="eastAsia" w:ascii="宋体" w:hAnsi="宋体" w:eastAsia="宋体" w:cs="宋体"/>
          <w:highlight w:val="none"/>
        </w:rPr>
      </w:pPr>
    </w:p>
    <w:p w14:paraId="16C7B922">
      <w:pPr>
        <w:pStyle w:val="3"/>
        <w:rPr>
          <w:rFonts w:hint="eastAsia" w:ascii="宋体" w:hAnsi="宋体" w:eastAsia="宋体" w:cs="宋体"/>
          <w:highlight w:val="none"/>
        </w:rPr>
      </w:pPr>
    </w:p>
    <w:p w14:paraId="2C4B1E4E">
      <w:pPr>
        <w:rPr>
          <w:rFonts w:hint="eastAsia" w:ascii="宋体" w:hAnsi="宋体" w:eastAsia="宋体" w:cs="宋体"/>
          <w:highlight w:val="none"/>
        </w:rPr>
      </w:pPr>
    </w:p>
    <w:p w14:paraId="6795B98F">
      <w:pPr>
        <w:pStyle w:val="3"/>
        <w:rPr>
          <w:rFonts w:hint="eastAsia"/>
          <w:highlight w:val="none"/>
        </w:rPr>
      </w:pPr>
    </w:p>
    <w:p w14:paraId="67F236CA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044EB8FB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7C28E2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left="0" w:leftChars="0" w:firstLine="964" w:firstLineChars="300"/>
        <w:jc w:val="left"/>
        <w:textAlignment w:val="auto"/>
        <w:rPr>
          <w:rFonts w:hint="eastAsia" w:ascii="宋体" w:hAnsi="宋体" w:eastAsia="宋体" w:cs="宋体"/>
          <w:b/>
          <w:kern w:val="0"/>
          <w:sz w:val="32"/>
          <w:szCs w:val="32"/>
          <w:highlight w:val="none"/>
          <w:u w:val="single"/>
        </w:rPr>
      </w:pPr>
      <w:r>
        <w:rPr>
          <w:rFonts w:hint="eastAsia" w:ascii="宋体" w:hAnsi="宋体" w:eastAsia="宋体" w:cs="宋体"/>
          <w:b/>
          <w:kern w:val="0"/>
          <w:sz w:val="32"/>
          <w:szCs w:val="32"/>
          <w:highlight w:val="none"/>
        </w:rPr>
        <w:t>甲方：</w:t>
      </w:r>
      <w:r>
        <w:rPr>
          <w:rFonts w:hint="eastAsia" w:ascii="宋体" w:hAnsi="宋体" w:eastAsia="宋体" w:cs="宋体"/>
          <w:b/>
          <w:kern w:val="0"/>
          <w:sz w:val="32"/>
          <w:szCs w:val="32"/>
          <w:highlight w:val="none"/>
          <w:u w:val="single"/>
        </w:rPr>
        <w:t xml:space="preserve">                              </w:t>
      </w:r>
    </w:p>
    <w:p w14:paraId="36A124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left="0" w:leftChars="0" w:firstLine="964" w:firstLineChars="300"/>
        <w:jc w:val="left"/>
        <w:textAlignment w:val="auto"/>
        <w:rPr>
          <w:rFonts w:hint="eastAsia" w:ascii="宋体" w:hAnsi="宋体" w:eastAsia="宋体" w:cs="宋体"/>
          <w:b/>
          <w:kern w:val="0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32"/>
          <w:szCs w:val="32"/>
          <w:highlight w:val="none"/>
        </w:rPr>
        <w:t>乙方：</w:t>
      </w:r>
      <w:r>
        <w:rPr>
          <w:rFonts w:hint="eastAsia" w:ascii="宋体" w:hAnsi="宋体" w:eastAsia="宋体" w:cs="宋体"/>
          <w:b/>
          <w:kern w:val="0"/>
          <w:sz w:val="32"/>
          <w:szCs w:val="32"/>
          <w:highlight w:val="none"/>
          <w:u w:val="single"/>
        </w:rPr>
        <w:t xml:space="preserve">                              </w:t>
      </w:r>
    </w:p>
    <w:p w14:paraId="6AC21D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left="1487" w:leftChars="708" w:firstLine="1606" w:firstLineChars="500"/>
        <w:jc w:val="left"/>
        <w:textAlignment w:val="auto"/>
        <w:rPr>
          <w:rFonts w:hint="eastAsia" w:ascii="宋体" w:hAnsi="宋体" w:eastAsia="宋体" w:cs="宋体"/>
          <w:b/>
          <w:kern w:val="0"/>
          <w:sz w:val="32"/>
          <w:szCs w:val="32"/>
          <w:highlight w:val="none"/>
        </w:rPr>
      </w:pPr>
    </w:p>
    <w:p w14:paraId="74869A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left="1487" w:leftChars="708" w:firstLine="1606" w:firstLineChars="500"/>
        <w:jc w:val="left"/>
        <w:textAlignment w:val="auto"/>
        <w:rPr>
          <w:rFonts w:hint="eastAsia" w:ascii="宋体" w:hAnsi="宋体" w:eastAsia="宋体" w:cs="宋体"/>
          <w:b/>
          <w:kern w:val="0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32"/>
          <w:szCs w:val="32"/>
          <w:highlight w:val="none"/>
        </w:rPr>
        <w:t>二〇二</w:t>
      </w:r>
      <w:r>
        <w:rPr>
          <w:rFonts w:hint="eastAsia" w:ascii="宋体" w:hAnsi="宋体" w:cs="宋体"/>
          <w:b/>
          <w:kern w:val="0"/>
          <w:sz w:val="32"/>
          <w:szCs w:val="32"/>
          <w:highlight w:val="none"/>
          <w:lang w:val="en-US" w:eastAsia="zh-CN"/>
        </w:rPr>
        <w:t>六</w:t>
      </w:r>
      <w:r>
        <w:rPr>
          <w:rFonts w:hint="eastAsia" w:ascii="宋体" w:hAnsi="宋体" w:eastAsia="宋体" w:cs="宋体"/>
          <w:b/>
          <w:kern w:val="0"/>
          <w:sz w:val="32"/>
          <w:szCs w:val="32"/>
          <w:highlight w:val="none"/>
        </w:rPr>
        <w:t>年</w:t>
      </w:r>
      <w:r>
        <w:rPr>
          <w:rFonts w:hint="eastAsia" w:ascii="宋体" w:hAnsi="宋体" w:eastAsia="宋体" w:cs="宋体"/>
          <w:b/>
          <w:kern w:val="0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b/>
          <w:kern w:val="0"/>
          <w:sz w:val="32"/>
          <w:szCs w:val="32"/>
          <w:highlight w:val="none"/>
        </w:rPr>
        <w:t>月</w:t>
      </w:r>
    </w:p>
    <w:p w14:paraId="018D45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</w:pPr>
    </w:p>
    <w:p w14:paraId="503E75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4943CE15">
      <w:pPr>
        <w:pStyle w:val="4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0EC3E1AD">
      <w:pPr>
        <w:pStyle w:val="4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7A2CD4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40B1D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4BC57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F64E9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甲方：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      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</w:t>
      </w:r>
    </w:p>
    <w:p w14:paraId="4E6420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乙方：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                    </w:t>
      </w:r>
    </w:p>
    <w:p w14:paraId="593041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为了确保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华州区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消防救援大队食堂原材料配送服务项目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工作的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顺利实施，甲、乙双方在平等、自愿、公平、诚信的基础上，根据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华州区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消防救援大队食堂原材料配送服务项目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供货合同相关要求，签订本合同。</w:t>
      </w:r>
      <w:bookmarkStart w:id="1" w:name="_GoBack"/>
      <w:bookmarkEnd w:id="1"/>
    </w:p>
    <w:p w14:paraId="2EACC9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第一条 货物名称、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规格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和数量</w:t>
      </w:r>
    </w:p>
    <w:tbl>
      <w:tblPr>
        <w:tblStyle w:val="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2"/>
        <w:gridCol w:w="1069"/>
        <w:gridCol w:w="1875"/>
        <w:gridCol w:w="2137"/>
        <w:gridCol w:w="1896"/>
      </w:tblGrid>
      <w:tr w14:paraId="71CBA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05" w:type="pct"/>
            <w:noWrap w:val="0"/>
            <w:vAlign w:val="center"/>
          </w:tcPr>
          <w:p w14:paraId="76C26F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货物名称</w:t>
            </w:r>
          </w:p>
        </w:tc>
        <w:tc>
          <w:tcPr>
            <w:tcW w:w="627" w:type="pct"/>
            <w:noWrap w:val="0"/>
            <w:vAlign w:val="center"/>
          </w:tcPr>
          <w:p w14:paraId="377A26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规格</w:t>
            </w:r>
          </w:p>
        </w:tc>
        <w:tc>
          <w:tcPr>
            <w:tcW w:w="1100" w:type="pct"/>
            <w:noWrap w:val="0"/>
            <w:vAlign w:val="center"/>
          </w:tcPr>
          <w:p w14:paraId="222AFB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1254" w:type="pct"/>
            <w:noWrap w:val="0"/>
            <w:vAlign w:val="center"/>
          </w:tcPr>
          <w:p w14:paraId="5BD7EB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质量标准</w:t>
            </w:r>
          </w:p>
        </w:tc>
        <w:tc>
          <w:tcPr>
            <w:tcW w:w="1112" w:type="pct"/>
            <w:noWrap w:val="0"/>
            <w:vAlign w:val="center"/>
          </w:tcPr>
          <w:p w14:paraId="1DFCE8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数量</w:t>
            </w:r>
          </w:p>
        </w:tc>
      </w:tr>
      <w:tr w14:paraId="3557F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05" w:type="pct"/>
            <w:noWrap w:val="0"/>
            <w:vAlign w:val="center"/>
          </w:tcPr>
          <w:p w14:paraId="7FC353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7" w:type="pct"/>
            <w:noWrap w:val="0"/>
            <w:vAlign w:val="center"/>
          </w:tcPr>
          <w:p w14:paraId="47285D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0" w:type="pct"/>
            <w:noWrap w:val="0"/>
            <w:vAlign w:val="center"/>
          </w:tcPr>
          <w:p w14:paraId="4D6F21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4" w:type="pct"/>
            <w:noWrap w:val="0"/>
            <w:vAlign w:val="center"/>
          </w:tcPr>
          <w:p w14:paraId="2A874F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2" w:type="pct"/>
            <w:noWrap w:val="0"/>
            <w:vAlign w:val="center"/>
          </w:tcPr>
          <w:p w14:paraId="0C889C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D9B9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05" w:type="pct"/>
            <w:noWrap w:val="0"/>
            <w:vAlign w:val="center"/>
          </w:tcPr>
          <w:p w14:paraId="04CE54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7" w:type="pct"/>
            <w:noWrap w:val="0"/>
            <w:vAlign w:val="center"/>
          </w:tcPr>
          <w:p w14:paraId="0902D3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0" w:type="pct"/>
            <w:noWrap w:val="0"/>
            <w:vAlign w:val="center"/>
          </w:tcPr>
          <w:p w14:paraId="28185F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4" w:type="pct"/>
            <w:noWrap w:val="0"/>
            <w:vAlign w:val="center"/>
          </w:tcPr>
          <w:p w14:paraId="657FE5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12" w:type="pct"/>
            <w:noWrap w:val="0"/>
            <w:vAlign w:val="center"/>
          </w:tcPr>
          <w:p w14:paraId="05DAAF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1B35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05" w:type="pct"/>
            <w:noWrap w:val="0"/>
            <w:vAlign w:val="center"/>
          </w:tcPr>
          <w:p w14:paraId="72D62A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7" w:type="pct"/>
            <w:noWrap w:val="0"/>
            <w:vAlign w:val="center"/>
          </w:tcPr>
          <w:p w14:paraId="3BA3A6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0" w:type="pct"/>
            <w:noWrap w:val="0"/>
            <w:vAlign w:val="center"/>
          </w:tcPr>
          <w:p w14:paraId="3CAA18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54" w:type="pct"/>
            <w:noWrap w:val="0"/>
            <w:vAlign w:val="center"/>
          </w:tcPr>
          <w:p w14:paraId="248C81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2" w:type="pct"/>
            <w:noWrap w:val="0"/>
            <w:vAlign w:val="center"/>
          </w:tcPr>
          <w:p w14:paraId="5604DB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5744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05" w:type="pct"/>
            <w:noWrap w:val="0"/>
            <w:vAlign w:val="center"/>
          </w:tcPr>
          <w:p w14:paraId="4F563A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7" w:type="pct"/>
            <w:noWrap w:val="0"/>
            <w:vAlign w:val="center"/>
          </w:tcPr>
          <w:p w14:paraId="380CDD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0" w:type="pct"/>
            <w:noWrap w:val="0"/>
            <w:vAlign w:val="center"/>
          </w:tcPr>
          <w:p w14:paraId="465D4D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4" w:type="pct"/>
            <w:noWrap w:val="0"/>
            <w:vAlign w:val="center"/>
          </w:tcPr>
          <w:p w14:paraId="212EA4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12" w:type="pct"/>
            <w:noWrap w:val="0"/>
            <w:vAlign w:val="center"/>
          </w:tcPr>
          <w:p w14:paraId="3656CC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2B26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05" w:type="pct"/>
            <w:noWrap w:val="0"/>
            <w:vAlign w:val="center"/>
          </w:tcPr>
          <w:p w14:paraId="0F8FF8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27" w:type="pct"/>
            <w:noWrap w:val="0"/>
            <w:vAlign w:val="center"/>
          </w:tcPr>
          <w:p w14:paraId="153322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00" w:type="pct"/>
            <w:noWrap w:val="0"/>
            <w:vAlign w:val="center"/>
          </w:tcPr>
          <w:p w14:paraId="678AD2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54" w:type="pct"/>
            <w:noWrap w:val="0"/>
            <w:vAlign w:val="center"/>
          </w:tcPr>
          <w:p w14:paraId="3D6532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12" w:type="pct"/>
            <w:noWrap w:val="0"/>
            <w:vAlign w:val="center"/>
          </w:tcPr>
          <w:p w14:paraId="2D8F20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C7BB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05" w:type="pct"/>
            <w:noWrap w:val="0"/>
            <w:vAlign w:val="center"/>
          </w:tcPr>
          <w:p w14:paraId="1DB93A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27" w:type="pct"/>
            <w:noWrap w:val="0"/>
            <w:vAlign w:val="center"/>
          </w:tcPr>
          <w:p w14:paraId="463F6A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00" w:type="pct"/>
            <w:noWrap w:val="0"/>
            <w:vAlign w:val="center"/>
          </w:tcPr>
          <w:p w14:paraId="186524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54" w:type="pct"/>
            <w:noWrap w:val="0"/>
            <w:vAlign w:val="center"/>
          </w:tcPr>
          <w:p w14:paraId="663F96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12" w:type="pct"/>
            <w:noWrap w:val="0"/>
            <w:vAlign w:val="center"/>
          </w:tcPr>
          <w:p w14:paraId="6E0560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0BBBEE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第二条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货物的质量及验收方式</w:t>
      </w:r>
    </w:p>
    <w:p w14:paraId="54E15E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货物质量：供应的所有货物，国家有关部门有明确规定的，按规定标准确定产品的等级和质量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每批次供应的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食品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必须有产品质量检验报告原件或复印件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加盖红色公章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 w14:paraId="233789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验收方式：乙方供应的货物到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甲方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，先提交供应货物清单（货物名称、数量、生产日期）、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货物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的质量检验合格证书原件或加盖公司红色印章的复印件，经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甲方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相关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管理人员现场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验收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验收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合格后，签字入库。乙方所供货物现场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验收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不合格，该批次产品不得用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于“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产品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采购”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，乙方必须立即重新组织货源供应，但不得影响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甲方使用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27250E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第三条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货物价格、货款结算方式</w:t>
      </w:r>
    </w:p>
    <w:p w14:paraId="2D110E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货物价格：按照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招标文件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“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报价应是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highlight w:val="none"/>
          <w:lang w:eastAsia="zh-CN"/>
        </w:rPr>
        <w:t>招标文件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规定范围内全部内容的合理报价，具体包括：运费（县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highlight w:val="none"/>
          <w:lang w:eastAsia="zh-CN"/>
        </w:rPr>
        <w:t>区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内配送费用）、税金、其它杂费（货物装卸费、食品库房租赁费、电费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等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）及产品政策性调价等所有费用；合同价款为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highlight w:val="none"/>
          <w:lang w:eastAsia="zh-CN"/>
        </w:rPr>
        <w:t>中标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人报出的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单价价格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，报价中已含市场风险及食品调价因素，合同期内不得因市场变化而调整供应价格和采购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成交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>价约定，所供货物价格为固定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价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none"/>
          <w:lang w:val="en-US" w:eastAsia="zh-CN"/>
        </w:rPr>
        <w:t>。</w:t>
      </w:r>
    </w:p>
    <w:p w14:paraId="3DB2D93E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第四条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货款结算方式：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按照成交单价及配送数量进行结算，总价不超过本项目采购预算。</w:t>
      </w:r>
    </w:p>
    <w:p w14:paraId="4CE5BE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第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五条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供货期限、地点、方式</w:t>
      </w:r>
    </w:p>
    <w:p w14:paraId="547B0E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供货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期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</w:t>
      </w:r>
    </w:p>
    <w:p w14:paraId="7A9182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供货地点：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</w:p>
    <w:p w14:paraId="43DD5E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供货方式：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</w:t>
      </w:r>
    </w:p>
    <w:p w14:paraId="0E342A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第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六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双方的权利和义务。</w:t>
      </w:r>
    </w:p>
    <w:p w14:paraId="43D18E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（一）甲方的权利与义务：</w:t>
      </w:r>
    </w:p>
    <w:p w14:paraId="608F73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1、甲方的权利：</w:t>
      </w:r>
    </w:p>
    <w:p w14:paraId="0A2F56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（1）甲方有权对乙方提供的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产品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进行检验，有权拒收不符合规定或达不到标准的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产品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，对乙方供货过程进行监督。 </w:t>
      </w:r>
    </w:p>
    <w:p w14:paraId="33541A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（2）甲方有权向乙方提出变更供货地点。</w:t>
      </w:r>
    </w:p>
    <w:p w14:paraId="4E8A58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（3）甲方有权向乙方索取必须的产品检验合格证明资料。</w:t>
      </w:r>
    </w:p>
    <w:p w14:paraId="10E8D3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（4）合同期内乙方提出有违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招标文件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或采购规定的要求，甲方有权终止合同。</w:t>
      </w:r>
    </w:p>
    <w:p w14:paraId="0A772D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2、甲方的义务。</w:t>
      </w:r>
    </w:p>
    <w:p w14:paraId="4F9FAB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（1）按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合同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约定时限向乙方支付货款。 </w:t>
      </w:r>
    </w:p>
    <w:p w14:paraId="1DAC18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（2）负责与乙方联系并协调配送货过程中有关事宜。</w:t>
      </w:r>
    </w:p>
    <w:p w14:paraId="347983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（二）乙方的权利和义务：</w:t>
      </w:r>
    </w:p>
    <w:p w14:paraId="057E0A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1、乙方的权利：</w:t>
      </w:r>
    </w:p>
    <w:p w14:paraId="24E560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（1）在约定时限内向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收取货款。</w:t>
      </w:r>
    </w:p>
    <w:p w14:paraId="612126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（2）乙方提供结算资料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后甲方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超过约定支付货款时限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，乙方有权向甲方投诉或采取法律措施追收，但不得影响学生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加餐食品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供应。</w:t>
      </w:r>
    </w:p>
    <w:p w14:paraId="00AA74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2、乙方的义务。</w:t>
      </w:r>
    </w:p>
    <w:p w14:paraId="28FBC7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（1）根据甲方的需要在约定的时限内，将货物运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达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甲方指定地点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，按时向收货人发出货物到达的通知，提交食品质量安全相关资料，并接受现场质检，检验合格后按照规定分类储存，建立台账，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并有完整的留样台账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。对配送的货物要负责安全，保证货物无短缺、无损坏，乙方将货物送往甲方指定的目的地，由收货单位签字盖章确认。接收人所盖印章应为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招标人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的公章或收货专用章，乙方凭甲方认可的配送验收结算单进行结算。收货时如发现食品质量、型号、规格不符等问题，乙方应无条件接受退货。</w:t>
      </w:r>
    </w:p>
    <w:p w14:paraId="4EEA40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（2）乙方必须无条件履行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招标文件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服务保障及承诺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事项。</w:t>
      </w:r>
    </w:p>
    <w:p w14:paraId="45BA51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第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七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违约责任 </w:t>
      </w:r>
    </w:p>
    <w:p w14:paraId="63E0C3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（一）甲方责任。不按时与乙方结算货款，每超一天偿付给乙方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结算费用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%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的违约金。</w:t>
      </w:r>
    </w:p>
    <w:p w14:paraId="0EB840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（二）乙方责任 </w:t>
      </w:r>
    </w:p>
    <w:p w14:paraId="061775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乙方负责供应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产品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的质量、卫生安全。配送不符合国家卫生安全和质量安全标准的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“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产品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采购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”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产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品，造成中毒事件或其他食源性疾病发生，将依照有关法律规定进行严肃处理并取消其供货资格。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产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品出现质量问题（质量问题包括：变质、霉变、污染、劣质、以次充好的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产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品、生产日期不明、保质期不明等），由乙方负责赔偿因此引发的一切损失，承担由此导致的一切后果（一切损失和后果包括：实物、人力、财力及由此引发的一系列损失和遗留问题）。</w:t>
      </w:r>
    </w:p>
    <w:p w14:paraId="3ED099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乙方负责按时将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产品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配送到规定配送点，如送货到达延误，影响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甲方使用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，应向甲方支付当月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产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品总金额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%的违约金。货物在运输途中，除不可抗力事故外，造成的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产品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破损、遗失、短缺等损失，由乙方自行负责。因以上原因造成甲方违约或其他损失后，由乙方负责赔偿。乙方有责任为甲方提供优质服务。</w:t>
      </w:r>
    </w:p>
    <w:p w14:paraId="362904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第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八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不可抗力</w:t>
      </w:r>
    </w:p>
    <w:p w14:paraId="12EAC3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合同执行期内，如发生自然灾害或其它不可抗力的原因，致使当事人一方不能履行或不能完全履行合同的，应向对方当事人通报理由，经有关主管部门证实后，不负违约责任，并允许变更或解除合同。</w:t>
      </w:r>
    </w:p>
    <w:p w14:paraId="117647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第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九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解决合同纠纷的方式</w:t>
      </w:r>
    </w:p>
    <w:p w14:paraId="4122A2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执行本合同发生争议，由当事人双方协商解决。协商不成，可向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招标人所在地行政主管部门投诉或依法向招标人所在地法院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起诉。</w:t>
      </w:r>
    </w:p>
    <w:p w14:paraId="53ADE0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第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其他</w:t>
      </w:r>
    </w:p>
    <w:p w14:paraId="3EE8C1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一）当事人一方要求变更或解除合同，应提前一个月通知对方，并采用书面形式由当事人双方达成协议。接到要求变更或解除合同通知的一方，应在20天之内做出答复（当事人另有约定的，从约定），逾期不答复的，视为默认。</w:t>
      </w:r>
    </w:p>
    <w:p w14:paraId="5A7443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）本合同如有未尽事宜，须经甲乙双方共同协商，做出补充规定，补充规定与本合同具有同等效力。</w:t>
      </w:r>
    </w:p>
    <w:p w14:paraId="185FE4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）本合同一式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份，甲乙双方各执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份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491A1959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highlight w:val="none"/>
        </w:rPr>
      </w:pPr>
    </w:p>
    <w:p w14:paraId="40F48F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招标人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（盖章）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供应商：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（盖章）         </w:t>
      </w:r>
    </w:p>
    <w:p w14:paraId="18508F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地 址：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地  址：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</w:t>
      </w:r>
    </w:p>
    <w:p w14:paraId="1EFDAC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邮政编码：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邮政编码：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</w:t>
      </w:r>
    </w:p>
    <w:p w14:paraId="31C669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法定代表人或其授权                   法定代表人或其授权 </w:t>
      </w:r>
    </w:p>
    <w:p w14:paraId="00020A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的代理人：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（签字）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的代理人：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（签字）           </w:t>
      </w:r>
    </w:p>
    <w:p w14:paraId="29D581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开户银行：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开户银行：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</w:t>
      </w:r>
    </w:p>
    <w:p w14:paraId="182DEB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账号：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账号：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</w:p>
    <w:p w14:paraId="612C7B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电话：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电话：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</w:t>
      </w:r>
    </w:p>
    <w:p w14:paraId="2E8186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传真：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传真：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</w:t>
      </w:r>
    </w:p>
    <w:p w14:paraId="1876A0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电子邮箱：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电子邮箱：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</w:t>
      </w:r>
    </w:p>
    <w:p w14:paraId="16B19396"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outlineLvl w:val="9"/>
        <w:rPr>
          <w:rFonts w:hint="eastAsia" w:ascii="宋体" w:hAnsi="宋体" w:eastAsia="宋体" w:cs="宋体"/>
          <w:bCs/>
          <w:color w:val="auto"/>
          <w:sz w:val="36"/>
          <w:szCs w:val="36"/>
          <w:highlight w:val="none"/>
        </w:rPr>
      </w:pPr>
    </w:p>
    <w:p w14:paraId="1564B0EB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2" w:charSpace="0"/>
        </w:sectPr>
      </w:pPr>
    </w:p>
    <w:p w14:paraId="18189B4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BE7052"/>
    <w:rsid w:val="04BE7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after="330" w:afterLines="0" w:line="576" w:lineRule="auto"/>
      <w:outlineLvl w:val="0"/>
    </w:pPr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widowControl/>
      <w:jc w:val="left"/>
    </w:pPr>
    <w:rPr>
      <w:kern w:val="0"/>
      <w:sz w:val="24"/>
      <w:szCs w:val="20"/>
    </w:rPr>
  </w:style>
  <w:style w:type="paragraph" w:styleId="4">
    <w:name w:val="Body Text First Indent"/>
    <w:basedOn w:val="3"/>
    <w:next w:val="3"/>
    <w:unhideWhenUsed/>
    <w:qFormat/>
    <w:uiPriority w:val="99"/>
    <w:pPr>
      <w:ind w:firstLine="420" w:firstLineChars="100"/>
    </w:p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2025-12-30T02:48:00Z</dcterms:created>
  <dc:creator>超级刀刀贼</dc:creator>
  <cp:lastModifiedBy>超级刀刀贼</cp:lastModifiedBy>
  <dcterms:modified xsi:type="dcterms:W3CDTF">2025-12-30T02:49:44Z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21C2841317D84930859544D0468E6BF3_11</vt:lpwstr>
  </property>
  <property fmtid="{D5CDD505-2E9C-101B-9397-08002B2CF9AE}" pid="4" name="KSOTemplateDocerSaveRecord">
    <vt:lpwstr>eyJoZGlkIjoiOGRmMDkwZWRkOGYzYzY3OTJkMTI2NGE5MTYzNDEzMjYiLCJ1c2VySWQiOiIyNzk1NDI0NDcifQ==</vt:lpwstr>
  </property>
</Properties>
</file>