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版本号：RC2026-ZBZWR-02-0120260108001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渭南市华州区中小学宿舍楼消防系统改造项目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RC2026-ZBZWR-02-01</w:t>
      </w:r>
      <w:r>
        <w:br/>
      </w:r>
      <w:r>
        <w:br/>
      </w:r>
      <w:r>
        <w:br/>
      </w:r>
    </w:p>
    <w:p>
      <w:pPr>
        <w:pStyle w:val="null3"/>
        <w:jc w:val="center"/>
        <w:outlineLvl w:val="2"/>
      </w:pPr>
      <w:r>
        <w:rPr>
          <w:rFonts w:ascii="仿宋_GB2312" w:hAnsi="仿宋_GB2312" w:cs="仿宋_GB2312" w:eastAsia="仿宋_GB2312"/>
          <w:sz w:val="28"/>
          <w:b/>
        </w:rPr>
        <w:t>渭南市华州区教育科学技术局</w:t>
      </w:r>
    </w:p>
    <w:p>
      <w:pPr>
        <w:pStyle w:val="null3"/>
        <w:jc w:val="center"/>
        <w:outlineLvl w:val="2"/>
      </w:pPr>
      <w:r>
        <w:rPr>
          <w:rFonts w:ascii="仿宋_GB2312" w:hAnsi="仿宋_GB2312" w:cs="仿宋_GB2312" w:eastAsia="仿宋_GB2312"/>
          <w:sz w:val="28"/>
          <w:b/>
        </w:rPr>
        <w:t>锐驰项目管理有限公司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锐驰项目管理有限公司</w:t>
      </w:r>
      <w:r>
        <w:rPr>
          <w:rFonts w:ascii="仿宋_GB2312" w:hAnsi="仿宋_GB2312" w:cs="仿宋_GB2312" w:eastAsia="仿宋_GB2312"/>
        </w:rPr>
        <w:t>（以下简称“代理机构”）受</w:t>
      </w:r>
      <w:r>
        <w:rPr>
          <w:rFonts w:ascii="仿宋_GB2312" w:hAnsi="仿宋_GB2312" w:cs="仿宋_GB2312" w:eastAsia="仿宋_GB2312"/>
        </w:rPr>
        <w:t>渭南市华州区教育科学技术局</w:t>
      </w:r>
      <w:r>
        <w:rPr>
          <w:rFonts w:ascii="仿宋_GB2312" w:hAnsi="仿宋_GB2312" w:cs="仿宋_GB2312" w:eastAsia="仿宋_GB2312"/>
        </w:rPr>
        <w:t>委托，拟对</w:t>
      </w:r>
      <w:r>
        <w:rPr>
          <w:rFonts w:ascii="仿宋_GB2312" w:hAnsi="仿宋_GB2312" w:cs="仿宋_GB2312" w:eastAsia="仿宋_GB2312"/>
        </w:rPr>
        <w:t>渭南市华州区中小学宿舍楼消防系统改造项目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RC2026-ZBZWR-02-01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渭南市华州区中小学宿舍楼消防系统改造项目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华州区中小学宿舍楼消防系统改造项目涉及城关小学、南街小学、铁中、杏林镇中心小学、少华初级中学、咸林中学、职业教育中心共7所学校的消防系统改造工程。项目主要内容：安装火灾自动报警系统、智能应急照明疏散系统、室内消火栓系统、室外消防系统、室外一体式泵站等。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采购包1（渭南市华州区中小学宿舍楼消防系统改造项目）：属于专门面向中小企业采购。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身份证复印件或法定代表人授权书及被授权人身份证复印件：供应商应授权合法的人员参加磋商全过程，其中法定代表人直接参加磋商的，须出具法人身份证复印件，并与营业执照上信息一致。法定代表人授权他人参加磋商的，须出具法定代表人授权书及被授权人身份证复印件；</w:t>
      </w:r>
    </w:p>
    <w:p>
      <w:pPr>
        <w:pStyle w:val="null3"/>
      </w:pPr>
      <w:r>
        <w:rPr>
          <w:rFonts w:ascii="仿宋_GB2312" w:hAnsi="仿宋_GB2312" w:cs="仿宋_GB2312" w:eastAsia="仿宋_GB2312"/>
        </w:rPr>
        <w:t>2、营业执照、事业单位法人证书、自然人身份证明：供应商为具有独立承担民事责任能力的法人或其他组织或自然人，并提供法人或者其他组织合法有效的营业执照等证明文件，事业单位应提供事业单位法人证书，自然人应提供身份证明文件；</w:t>
      </w:r>
    </w:p>
    <w:p>
      <w:pPr>
        <w:pStyle w:val="null3"/>
      </w:pPr>
      <w:r>
        <w:rPr>
          <w:rFonts w:ascii="仿宋_GB2312" w:hAnsi="仿宋_GB2312" w:cs="仿宋_GB2312" w:eastAsia="仿宋_GB2312"/>
        </w:rPr>
        <w:t>3、企业资质：供应商须具备建设行政主管部门颁发的消防设施工程专业承包二级及以上资质，并具备有效的安全生产许可证；</w:t>
      </w:r>
    </w:p>
    <w:p>
      <w:pPr>
        <w:pStyle w:val="null3"/>
      </w:pPr>
      <w:r>
        <w:rPr>
          <w:rFonts w:ascii="仿宋_GB2312" w:hAnsi="仿宋_GB2312" w:cs="仿宋_GB2312" w:eastAsia="仿宋_GB2312"/>
        </w:rPr>
        <w:t>4、项目经理：拟派项目负责人需具备机电工程专业二级及以上注册建造师资格和有效的安全生产考核B证，必须为本公司注册人员，且无在建项目；</w:t>
      </w:r>
    </w:p>
    <w:p>
      <w:pPr>
        <w:pStyle w:val="null3"/>
      </w:pPr>
      <w:r>
        <w:rPr>
          <w:rFonts w:ascii="仿宋_GB2312" w:hAnsi="仿宋_GB2312" w:cs="仿宋_GB2312" w:eastAsia="仿宋_GB2312"/>
        </w:rPr>
        <w:t>5、财务会计制度的证明材料：关于财务会计制度的证明材料｛注：1.2024年度完整的财务报表审计报告（包括但不限于审计报告、资产负债表、利润表、现金流量表、所有者权益变动表及财务报表附注等内容，成立时间至提交响应文件截止时间不足一年的可提供成立后任意时段的资产负债表）；2.提交响应文件截止时间前 三个月内其基本账户开户银行出具的资信证明（附基本存款账户信息）。｝以上两种方式供应商任 选其一进行提供，供应商需在项目电子化交易系统中按要求上传相应证明文件并进行电子签章。</w:t>
      </w:r>
    </w:p>
    <w:p>
      <w:pPr>
        <w:pStyle w:val="null3"/>
      </w:pPr>
      <w:r>
        <w:rPr>
          <w:rFonts w:ascii="仿宋_GB2312" w:hAnsi="仿宋_GB2312" w:cs="仿宋_GB2312" w:eastAsia="仿宋_GB2312"/>
        </w:rPr>
        <w:t>6、税收缴纳证明：提供2025年6月至今任意时段已缴纳完税凭证或税务机关开具的完税证明（任意税种）；依法免税的应提供相关文件证明；</w:t>
      </w:r>
    </w:p>
    <w:p>
      <w:pPr>
        <w:pStyle w:val="null3"/>
      </w:pPr>
      <w:r>
        <w:rPr>
          <w:rFonts w:ascii="仿宋_GB2312" w:hAnsi="仿宋_GB2312" w:cs="仿宋_GB2312" w:eastAsia="仿宋_GB2312"/>
        </w:rPr>
        <w:t>7、社保缴纳证明：提供2025年6月至今任意时段已缴纳的社会保障资金缴存单据或社保机构开具的社会保险参保缴费情况证明；依法不需要缴纳社会保障资金的应提供相关文件证明；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8、具备履行合同所必需的设备和专业技术能力：具备履行合同所必需的设备和专业技术能力；</w:t>
      </w:r>
    </w:p>
    <w:p>
      <w:pPr>
        <w:pStyle w:val="null3"/>
      </w:pPr>
      <w:r>
        <w:rPr>
          <w:rFonts w:ascii="仿宋_GB2312" w:hAnsi="仿宋_GB2312" w:cs="仿宋_GB2312" w:eastAsia="仿宋_GB2312"/>
        </w:rPr>
        <w:t>9、参加政府采购活动前3年内，在经营活动中没有重大违法记录：参加政府采购活动前3年内，在经营活动中没有重大违法记录；</w:t>
      </w:r>
    </w:p>
    <w:p>
      <w:pPr>
        <w:pStyle w:val="null3"/>
      </w:pPr>
      <w:r>
        <w:rPr>
          <w:rFonts w:ascii="仿宋_GB2312" w:hAnsi="仿宋_GB2312" w:cs="仿宋_GB2312" w:eastAsia="仿宋_GB2312"/>
        </w:rPr>
        <w:t>10、供应商信用：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失信主体、政府采购严重违法失信行为记录名单中的供应商参加本项目的采购活动；</w:t>
      </w:r>
    </w:p>
    <w:p>
      <w:pPr>
        <w:pStyle w:val="null3"/>
      </w:pPr>
      <w:r>
        <w:rPr>
          <w:rFonts w:ascii="仿宋_GB2312" w:hAnsi="仿宋_GB2312" w:cs="仿宋_GB2312" w:eastAsia="仿宋_GB2312"/>
        </w:rPr>
        <w:t>11、本项目不接受联合体投标：供应商应提供《非联合体投标声明》，视为独立投标。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渭南市华州区教育科学技术局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渭南市华州区子仪路东段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0913-4711529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锐驰项目管理有限公司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西安市雁塔区朱雀大街南段汇成天玺C座11层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周婉蓉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029-88669622-801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渭南市华州区政府采购管理股</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0913-4720669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采购包1：3,125,511.57元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开户名称：锐驰项目管理有限公司</w:t>
            </w:r>
          </w:p>
          <w:p>
            <w:pPr>
              <w:pStyle w:val="null3"/>
            </w:pPr>
            <w:r>
              <w:rPr>
                <w:rFonts w:ascii="仿宋_GB2312" w:hAnsi="仿宋_GB2312" w:cs="仿宋_GB2312" w:eastAsia="仿宋_GB2312"/>
              </w:rPr>
              <w:t>开户银行：民生银行长安路支行</w:t>
            </w:r>
          </w:p>
          <w:p>
            <w:pPr>
              <w:pStyle w:val="null3"/>
            </w:pPr>
            <w:r>
              <w:rPr>
                <w:rFonts w:ascii="仿宋_GB2312" w:hAnsi="仿宋_GB2312" w:cs="仿宋_GB2312" w:eastAsia="仿宋_GB2312"/>
              </w:rPr>
              <w:t>银行账号：699214731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颁发的《招标代理服务收费管理暂行办法》（计价格[2002]1980号）和国家发展委下发的《关于降低部分建设项目收费标准规范收费行为等有关问题的通知》[2011]534号文件规定的“工程”收费标准。 2.请将代理服务费汇至下列指定账户： 开户名称：锐驰项目管理有限公司 开 户 行：陕西秦农农村商业银行股份有限公司明德门支行 账 号：2701 0259 0120 1000 0349 43 汇款备注：项目名称（可简写）+代理服务费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渭南市华州区教育科学技术局</w:t>
      </w:r>
      <w:r>
        <w:rPr>
          <w:rFonts w:ascii="仿宋_GB2312" w:hAnsi="仿宋_GB2312" w:cs="仿宋_GB2312" w:eastAsia="仿宋_GB2312"/>
        </w:rPr>
        <w:t>和</w:t>
      </w:r>
      <w:r>
        <w:rPr>
          <w:rFonts w:ascii="仿宋_GB2312" w:hAnsi="仿宋_GB2312" w:cs="仿宋_GB2312" w:eastAsia="仿宋_GB2312"/>
        </w:rPr>
        <w:t>锐驰项目管理有限公司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渭南市华州区教育科学技术局</w:t>
      </w:r>
      <w:r>
        <w:rPr>
          <w:rFonts w:ascii="仿宋_GB2312" w:hAnsi="仿宋_GB2312" w:cs="仿宋_GB2312" w:eastAsia="仿宋_GB2312"/>
        </w:rPr>
        <w:t>负责解释。除上述磋商文件内容，其他内容由</w:t>
      </w:r>
      <w:r>
        <w:rPr>
          <w:rFonts w:ascii="仿宋_GB2312" w:hAnsi="仿宋_GB2312" w:cs="仿宋_GB2312" w:eastAsia="仿宋_GB2312"/>
        </w:rPr>
        <w:t>锐驰项目管理有限公司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渭南市华州区教育科学技术局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锐驰项目管理有限公司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达到国家相关规范要求，并取得属地住建消防等部门多方认可的合格评估论证意见函。</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锐驰项目管理有限公司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锐驰项目管理有限公司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锐驰项目管理有限公司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联系人：周婉蓉</w:t>
      </w:r>
    </w:p>
    <w:p>
      <w:pPr>
        <w:pStyle w:val="null3"/>
      </w:pPr>
      <w:r>
        <w:rPr>
          <w:rFonts w:ascii="仿宋_GB2312" w:hAnsi="仿宋_GB2312" w:cs="仿宋_GB2312" w:eastAsia="仿宋_GB2312"/>
        </w:rPr>
        <w:t>联系电话：029-88669622-801</w:t>
      </w:r>
    </w:p>
    <w:p>
      <w:pPr>
        <w:pStyle w:val="null3"/>
      </w:pPr>
      <w:r>
        <w:rPr>
          <w:rFonts w:ascii="仿宋_GB2312" w:hAnsi="仿宋_GB2312" w:cs="仿宋_GB2312" w:eastAsia="仿宋_GB2312"/>
        </w:rPr>
        <w:t>地址：西安市雁塔区朱雀大街南段汇成天玺C座11层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3,125,511.57</w:t>
      </w:r>
    </w:p>
    <w:p>
      <w:pPr>
        <w:pStyle w:val="null3"/>
      </w:pPr>
      <w:r>
        <w:rPr>
          <w:rFonts w:ascii="仿宋_GB2312" w:hAnsi="仿宋_GB2312" w:cs="仿宋_GB2312" w:eastAsia="仿宋_GB2312"/>
        </w:rPr>
        <w:t>采购包最高限价（元）: 3,125,511.57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3,125,511.57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40"/>
              <w:jc w:val="left"/>
            </w:pPr>
            <w:r>
              <w:rPr>
                <w:rFonts w:ascii="仿宋_GB2312" w:hAnsi="仿宋_GB2312" w:cs="仿宋_GB2312" w:eastAsia="仿宋_GB2312"/>
                <w:sz w:val="18"/>
                <w:color w:val="000000"/>
              </w:rPr>
              <w:t>(1)工程内容：安装火灾自动报警系统、智能应急照明疏散系统、室内消火栓系统、室外消防系统、室外一体式泵站等。</w:t>
            </w:r>
          </w:p>
          <w:p>
            <w:pPr>
              <w:pStyle w:val="null3"/>
              <w:ind w:firstLine="440"/>
              <w:jc w:val="left"/>
            </w:pPr>
            <w:r>
              <w:rPr>
                <w:rFonts w:ascii="仿宋_GB2312" w:hAnsi="仿宋_GB2312" w:cs="仿宋_GB2312" w:eastAsia="仿宋_GB2312"/>
                <w:sz w:val="18"/>
                <w:color w:val="000000"/>
              </w:rPr>
              <w:t>(2)计划工期：自进场之日起</w:t>
            </w:r>
            <w:r>
              <w:rPr>
                <w:rFonts w:ascii="仿宋_GB2312" w:hAnsi="仿宋_GB2312" w:cs="仿宋_GB2312" w:eastAsia="仿宋_GB2312"/>
                <w:sz w:val="18"/>
                <w:color w:val="000000"/>
              </w:rPr>
              <w:t>60</w:t>
            </w:r>
            <w:r>
              <w:rPr>
                <w:rFonts w:ascii="仿宋_GB2312" w:hAnsi="仿宋_GB2312" w:cs="仿宋_GB2312" w:eastAsia="仿宋_GB2312"/>
                <w:sz w:val="18"/>
                <w:color w:val="000000"/>
              </w:rPr>
              <w:t>个日历日</w:t>
            </w:r>
          </w:p>
          <w:p>
            <w:pPr>
              <w:pStyle w:val="null3"/>
              <w:ind w:firstLine="440"/>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缺陷责任期：验收合格后24月</w:t>
            </w:r>
          </w:p>
          <w:p>
            <w:pPr>
              <w:pStyle w:val="null3"/>
              <w:ind w:firstLine="440"/>
              <w:jc w:val="left"/>
            </w:pPr>
            <w:r>
              <w:rPr>
                <w:rFonts w:ascii="仿宋_GB2312" w:hAnsi="仿宋_GB2312" w:cs="仿宋_GB2312" w:eastAsia="仿宋_GB2312"/>
                <w:sz w:val="18"/>
              </w:rPr>
              <w:t>（4）质量要求：</w:t>
            </w:r>
            <w:r>
              <w:rPr>
                <w:rFonts w:ascii="仿宋_GB2312" w:hAnsi="仿宋_GB2312" w:cs="仿宋_GB2312" w:eastAsia="仿宋_GB2312"/>
                <w:sz w:val="18"/>
                <w:color w:val="000000"/>
              </w:rPr>
              <w:t>达到国家相关规范要求，并取得属地住建消防等部门多方认可的合格评估论证意见函。</w:t>
            </w:r>
          </w:p>
          <w:p>
            <w:pPr>
              <w:pStyle w:val="null3"/>
              <w:ind w:firstLine="440"/>
              <w:jc w:val="left"/>
            </w:pPr>
            <w:r>
              <w:rPr>
                <w:rFonts w:ascii="仿宋_GB2312" w:hAnsi="仿宋_GB2312" w:cs="仿宋_GB2312" w:eastAsia="仿宋_GB2312"/>
                <w:sz w:val="18"/>
                <w:color w:val="000000"/>
              </w:rPr>
              <w:t>（5）工程量清单详见附件</w:t>
            </w:r>
          </w:p>
          <w:p>
            <w:pPr>
              <w:pStyle w:val="null3"/>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达到国家相关规范要求，并取得属地住建消防等部门多方认可的合格评估论证意见函。</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本项目采用两轮报价，响应文件中的报价为首次报价，磋商后的报价为最终报价。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1.2024年度完整的财务报表审计报告（包括但不限于审计报告、资产负债表、利润表、现金流量表、所有者权益变动表及财务报表附注等内容，成立时间至提交响应文件截止时间不足一年的可提供成立后任意时段的资产负债表）；2.提交响应文件截止时间前 三个月内其基本账户开户银行出具的资信证明（附基本存款账户信息）。｝以上两种方式供应商任 选其一进行提供，供应商需在项目电子化交易系统中按要求上传相应证明文件并进行电子签章。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法人身份证复印件或法定代表人授权书及被授权人身份证复印件</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复印件，并与营业执照上信息一致。法定代表人授权他人参加磋商的，须出具法定代表人授权书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营业执照、事业单位法人证书、自然人身份证明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供应商为具有独立承担民事责任能力的法人或其他组织或自然人，并提供法人或者其他组织合法有效的营业执照等证明文件，事业单位应提供事业单位法人证书，自然人应提供身份证明文件；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供应商须具备建设行政主管部门颁发的消防设施工程专业承包二级及以上资质，并具备有效的安全生产许可证；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拟派项目负责人需具备机电工程专业二级及以上注册建造师资格和有效的安全生产考核B证，必须为本公司注册人员，且无在建项目；</w:t>
            </w:r>
          </w:p>
        </w:tc>
        <w:tc>
          <w:tcPr>
            <w:tcW w:type="dxa" w:w="1661"/>
          </w:tcPr>
          <w:p>
            <w:pPr>
              <w:pStyle w:val="null3"/>
            </w:pPr>
            <w:r>
              <w:rPr>
                <w:rFonts w:ascii="仿宋_GB2312" w:hAnsi="仿宋_GB2312" w:cs="仿宋_GB2312" w:eastAsia="仿宋_GB2312"/>
              </w:rPr>
              <w:t>供应商应提交的相关资格证明材料.docx 项目管理机构组成表 项目管理机构人员表.docx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财务会计制度的证明材料</w:t>
            </w:r>
          </w:p>
        </w:tc>
        <w:tc>
          <w:tcPr>
            <w:tcW w:type="dxa" w:w="3322"/>
          </w:tcPr>
          <w:p>
            <w:pPr>
              <w:pStyle w:val="null3"/>
            </w:pPr>
            <w:r>
              <w:rPr>
                <w:rFonts w:ascii="仿宋_GB2312" w:hAnsi="仿宋_GB2312" w:cs="仿宋_GB2312" w:eastAsia="仿宋_GB2312"/>
              </w:rPr>
              <w:t>关于财务会计制度的证明材料｛注：1.2024年度完整的财务报表审计报告（包括但不限于审计报告、资产负债表、利润表、现金流量表、所有者权益变动表及财务报表附注等内容，成立时间至提交响应文件截止时间不足一年的可提供成立后任意时段的资产负债表）；2.提交响应文件截止时间前 三个月内其基本账户开户银行出具的资信证明（附基本存款账户信息）。｝以上两种方式供应商任 选其一进行提供，供应商需在项目电子化交易系统中按要求上传相应证明文件并进行电子签章。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提供2025年6月至今任意时段已缴纳完税凭证或税务机关开具的完税证明（任意税种）；依法免税的应提供相关文件证明；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提供2025年6月至今任意时段已缴纳的社会保障资金缴存单据或社保机构开具的社会保险参保缴费情况证明；依法不需要缴纳社会保障资金的应提供相关文件证明；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失信主体、政府采购严重违法失信行为记录名单中的供应商参加本项目的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供应商应提供《非联合体投标声明》，视为独立投标。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技术服务合同条款及其他商务要求应答表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响应文件上法定代表人或其委托代理人的签字齐全并加盖单位章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方案.docx 强制优先采购产品承诺函 响应文件封面 供应商应提交的相关资格证明材料.docx 项目管理机构组成表 项目管理机构人员表.docx 残疾人福利性单位声明函 报价函 标的清单 其他资料.docx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方案.docx 强制优先采购产品承诺函 响应文件封面 供应商应提交的相关资格证明材料.docx 项目管理机构组成表 项目管理机构人员表.docx 残疾人福利性单位声明函 报价函 标的清单 其他资料.docx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工期和质量</w:t>
            </w:r>
          </w:p>
        </w:tc>
        <w:tc>
          <w:tcPr>
            <w:tcW w:type="dxa" w:w="3322"/>
          </w:tcPr>
          <w:p>
            <w:pPr>
              <w:pStyle w:val="null3"/>
            </w:pPr>
            <w:r>
              <w:rPr>
                <w:rFonts w:ascii="仿宋_GB2312" w:hAnsi="仿宋_GB2312" w:cs="仿宋_GB2312" w:eastAsia="仿宋_GB2312"/>
              </w:rPr>
              <w:t>应满足磋商文件规定的工期和质量</w:t>
            </w:r>
          </w:p>
        </w:tc>
        <w:tc>
          <w:tcPr>
            <w:tcW w:type="dxa" w:w="1661"/>
          </w:tcPr>
          <w:p>
            <w:pPr>
              <w:pStyle w:val="null3"/>
            </w:pPr>
            <w:r>
              <w:rPr>
                <w:rFonts w:ascii="仿宋_GB2312" w:hAnsi="仿宋_GB2312" w:cs="仿宋_GB2312" w:eastAsia="仿宋_GB2312"/>
              </w:rPr>
              <w:t>报价函 技术服务合同条款及其他商务要求应答表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应满足磋商文件规定的磋商有效期</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供应商提供（2023年1月1日至今）类似项目业绩，每提供1个得1分，最高得4分； 评审依据：业绩证明以合同或中标通知书为准，须在文件中附合同的复印件（或扫描件）或中标通知书复印件（或扫描件）加盖单位公章。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拟派项目经理学历及业绩</w:t>
            </w:r>
          </w:p>
        </w:tc>
        <w:tc>
          <w:tcPr>
            <w:tcW w:type="dxa" w:w="2492"/>
          </w:tcPr>
          <w:p>
            <w:pPr>
              <w:pStyle w:val="null3"/>
            </w:pPr>
            <w:r>
              <w:rPr>
                <w:rFonts w:ascii="仿宋_GB2312" w:hAnsi="仿宋_GB2312" w:cs="仿宋_GB2312" w:eastAsia="仿宋_GB2312"/>
              </w:rPr>
              <w:t>1.拟派项目经理具备大专（含）及以上学历的得2分，其他情况不得分。 评审依据：以供应商提供的加盖公章的拟派项目经理学历证书的扫描件或复印件为准，提供多个学历或学位证书的，以最高学历为准，未提供的不得分。 2.供应商提供拟派项目理自2023年1月1日至今已完成的类似项目的业绩证明材料(在该项目中担任项目经理一职)提供1项的得2分，未提供的不得分。 评审依据:类似业绩证明材料以合同为准。业绩时间以合同所体现的时间为准。缺少资料或未按照上述要求提供的，均按照0分计入。企业业绩和拟派项目经理业绩可重复计分。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项目管理机构人员表.docx</w:t>
            </w:r>
          </w:p>
        </w:tc>
      </w:tr>
      <w:tr>
        <w:tc>
          <w:tcPr>
            <w:tcW w:type="dxa" w:w="831"/>
            <w:vMerge/>
          </w:tcPr>
          <w:p/>
        </w:tc>
        <w:tc>
          <w:tcPr>
            <w:tcW w:type="dxa" w:w="1661"/>
          </w:tcPr>
          <w:p>
            <w:pPr>
              <w:pStyle w:val="null3"/>
            </w:pPr>
            <w:r>
              <w:rPr>
                <w:rFonts w:ascii="仿宋_GB2312" w:hAnsi="仿宋_GB2312" w:cs="仿宋_GB2312" w:eastAsia="仿宋_GB2312"/>
              </w:rPr>
              <w:t>拟派技术负责人职称</w:t>
            </w:r>
          </w:p>
        </w:tc>
        <w:tc>
          <w:tcPr>
            <w:tcW w:type="dxa" w:w="2492"/>
          </w:tcPr>
          <w:p>
            <w:pPr>
              <w:pStyle w:val="null3"/>
            </w:pPr>
            <w:r>
              <w:rPr>
                <w:rFonts w:ascii="仿宋_GB2312" w:hAnsi="仿宋_GB2312" w:cs="仿宋_GB2312" w:eastAsia="仿宋_GB2312"/>
              </w:rPr>
              <w:t>拟派技术负责人具备中级及以上职称的得2分，没有不得分。 评审依据：以供应商提供的加盖公章的拟派技术负责人职称证书的扫描件或复印件为准，提供多个职称证书的，以最高职称为准，未提供的不得分。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项目管理机构人员表.docx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有完善、针对性强、切实可行的实施方案。 1.方案内容完整详尽、科学合理、切实可行、针对性强，完全满足施工要求得6分； 2.方案基本完整、较合理可行、针对性不强、基本满足施工要求得4分； 3.方案简单、不能完全满足施工要求得1分；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有符合本项目工程的质量管理目标和质量管理制度、主要工序的质量技术保证措施和手段。措施是否完备齐全、先进、合理、切实可行。 1.方案及措施内容完整详尽、科学合理、切实可行、针对性强，完全满足施工要求得6分； 2.方案及措施基本完整、较合理可行、针对性不强、基本满足施工要求得4分； 3.方案及措施简单、不能完全满足施工要求得1分；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项目组织机构及项目经理部组成人员</w:t>
            </w:r>
          </w:p>
        </w:tc>
        <w:tc>
          <w:tcPr>
            <w:tcW w:type="dxa" w:w="2492"/>
          </w:tcPr>
          <w:p>
            <w:pPr>
              <w:pStyle w:val="null3"/>
            </w:pPr>
            <w:r>
              <w:rPr>
                <w:rFonts w:ascii="仿宋_GB2312" w:hAnsi="仿宋_GB2312" w:cs="仿宋_GB2312" w:eastAsia="仿宋_GB2312"/>
              </w:rPr>
              <w:t>人员齐备、专业配套、相关岗位证书齐全。 1.项目经理及项目部人员配备齐全、专业配套、相关岗位证书齐全，满足项目实际要求得6分； 2.项目经理及项目部人员配备较合理、专业配套、相关岗位证书较齐全，基本满足项目实际要求得4分； 3.项目经理及项目部人员配备不够齐全得1分；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劳动力安排合理妥当，时间安排合理满足施工需求。 1.方案内容完整详尽、科学合理、切实可行、针对性强，完全满足施工要求得6分； 2.方案基本完整、较合理可行、针对性不强、基本满足施工要求得4分； 3.方案简单、不能完全满足施工要求得1分；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有符合本项目工程的质量管理目标和质量管理制度、主要工序的质量技术保证措施和手段。措施是否完备齐全、先进、合理、切实可行。 1.方案及措施内容完整详尽、科学合理、切实可行、针对性强，完全满足施工要求得6分； 2.方案及措施基本完整、较合理可行、针对性不强、基本满足施工要求得4分； 3.方案及措施简单、不能完全满足施工要求得1分； 4.未提供得0分。 注：上述内容有缺失的应酌情扣分，此项最少得0分。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工程进度计划与措施，安排科学合理符合本项目施工实际要求。 1.方案内容完整详尽、科学合理、切实可行、针对性强，完全满足施工要求得5分； 2.方案基本完整、较合理可行、针对性不强、基本满足施工要求得3分； 3.方案简单、不能完全满足施工要求得1分； 4.未提供得0分。 注：上述内容有缺失的应酌情扣分，此项最少得0分。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安全管理人员配备合理，制度健全，各道工序安全技术措施针对性强，符合实际且满足要求措施是否完备齐全、先进、合理、切实可行。 1.方案及措施内容完整详尽、科学合理、切实可行、针对性强，完全满足施工要求得5分； 2.方案及措施基本完整、较合理可行、针对性不强、基本满足施工要求得3分； 3.方案及措施简单、不能完全满足施工要求得1分； 4.未提供得0分。 注：上述内容有缺失的应酌情扣分，此项最少得0分。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文明施工及环境保护管理措施</w:t>
            </w:r>
          </w:p>
        </w:tc>
        <w:tc>
          <w:tcPr>
            <w:tcW w:type="dxa" w:w="2492"/>
          </w:tcPr>
          <w:p>
            <w:pPr>
              <w:pStyle w:val="null3"/>
            </w:pPr>
            <w:r>
              <w:rPr>
                <w:rFonts w:ascii="仿宋_GB2312" w:hAnsi="仿宋_GB2312" w:cs="仿宋_GB2312" w:eastAsia="仿宋_GB2312"/>
              </w:rPr>
              <w:t>有现场文明施工计划和环境保护措施，且各项措施周全、具体、有效。 1.方案及措施内容完整详尽、科学合理、切实可行、针对性强，完全满足施工要求得5分； 2.方案及措施基本完整、较合理可行、针对性不强、基本满足施工要求得3分； 3.方案及措施简单、不能完全满足施工要求得1分； 4.未提供得0分。注：上述内容有缺失的应酌情扣分，此项最少得0分。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施工机械配备</w:t>
            </w:r>
          </w:p>
        </w:tc>
        <w:tc>
          <w:tcPr>
            <w:tcW w:type="dxa" w:w="2492"/>
          </w:tcPr>
          <w:p>
            <w:pPr>
              <w:pStyle w:val="null3"/>
            </w:pPr>
            <w:r>
              <w:rPr>
                <w:rFonts w:ascii="仿宋_GB2312" w:hAnsi="仿宋_GB2312" w:cs="仿宋_GB2312" w:eastAsia="仿宋_GB2312"/>
              </w:rPr>
              <w:t>投入的施工机械、设备、机具有详细计划，设备数量、选型配置、进场数量、时间安排合理满足施工需求。 1.投入的施工机械、设备具有详细计划，设备数量、选型配置、进场数量、时间安排合理满足施工需求得5分； 2.投入的施工机械、设备具有较完整的计划，设备数量、选型配置、进场数量、时间安排较满足施工需求得3分； 3.投入的施工机械、设备计划简单，不能完全满足施工需求得1分； 4.未提供得0分。注：上述内容有缺失的应酌情扣分，此项最少得0分。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施工进度表或施工网络图，安排科学合理符合本项目施工实际要求。 1.方案内容完整详尽、科学合理、切实可行、针对性强，完全满足施工要求得5分； 2.方案基本完整、较合理可行、针对性不强、基本满足施工要求得3分； 3.方案简单、不能完全满足施工要求得1分；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施工单位应用的技术、产品、工艺、材料等先进科学，并有合理的施工现场扬尘预防措施。1.方案内容完整详尽、科学合理、切实可行、针对性强，完全满足施工要求得5分； 2.方案基本完整、较合理可行、针对性不强、基本满足施工要求得3分； 3.方案简单、不能完全满足施工要求得1分；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满足磋商文件要求且最后的磋商报价最低的投标价为评审基准价，其价格分为满分。 磋商报价得分=（评审基准价/磋商报价）×30。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详见附件：方案.docx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详见附件：项目管理机构人员表.docx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