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801CD">
      <w:pPr>
        <w:jc w:val="left"/>
        <w:rPr>
          <w:rFonts w:ascii="宋体" w:hAnsi="宋体" w:cs="宋体"/>
          <w:bCs/>
          <w:color w:val="000000" w:themeColor="text1"/>
          <w:kern w:val="21"/>
          <w:sz w:val="32"/>
          <w:szCs w:val="32"/>
          <w:highlight w:val="none"/>
          <w14:textFill>
            <w14:solidFill>
              <w14:schemeClr w14:val="tx1"/>
            </w14:solidFill>
          </w14:textFill>
        </w:rPr>
      </w:pPr>
      <w:r>
        <w:rPr>
          <w:rFonts w:hint="eastAsia" w:ascii="宋体" w:hAnsi="宋体" w:cs="宋体"/>
          <w:bCs/>
          <w:color w:val="000000" w:themeColor="text1"/>
          <w:kern w:val="21"/>
          <w:sz w:val="32"/>
          <w:szCs w:val="32"/>
          <w:highlight w:val="none"/>
          <w14:textFill>
            <w14:solidFill>
              <w14:schemeClr w14:val="tx1"/>
            </w14:solidFill>
          </w14:textFill>
        </w:rPr>
        <w:t>（GF—2017—0201）</w:t>
      </w:r>
    </w:p>
    <w:p w14:paraId="0561A2EA">
      <w:pPr>
        <w:rPr>
          <w:rFonts w:ascii="宋体" w:hAnsi="宋体" w:cs="宋体"/>
          <w:b/>
          <w:color w:val="000000" w:themeColor="text1"/>
          <w:kern w:val="21"/>
          <w:sz w:val="52"/>
          <w:szCs w:val="52"/>
          <w:highlight w:val="none"/>
          <w14:textFill>
            <w14:solidFill>
              <w14:schemeClr w14:val="tx1"/>
            </w14:solidFill>
          </w14:textFill>
        </w:rPr>
      </w:pPr>
    </w:p>
    <w:p w14:paraId="62BBD4EF">
      <w:pPr>
        <w:jc w:val="center"/>
        <w:rPr>
          <w:rFonts w:ascii="宋体" w:hAnsi="宋体" w:cs="宋体"/>
          <w:b/>
          <w:color w:val="000000" w:themeColor="text1"/>
          <w:kern w:val="21"/>
          <w:sz w:val="52"/>
          <w:szCs w:val="52"/>
          <w:highlight w:val="none"/>
          <w14:textFill>
            <w14:solidFill>
              <w14:schemeClr w14:val="tx1"/>
            </w14:solidFill>
          </w14:textFill>
        </w:rPr>
      </w:pPr>
    </w:p>
    <w:p w14:paraId="3FCE3B10">
      <w:pPr>
        <w:jc w:val="center"/>
        <w:rPr>
          <w:rFonts w:ascii="宋体" w:hAnsi="宋体" w:cs="宋体"/>
          <w:b/>
          <w:color w:val="000000" w:themeColor="text1"/>
          <w:kern w:val="21"/>
          <w:sz w:val="52"/>
          <w:szCs w:val="52"/>
          <w:highlight w:val="none"/>
          <w14:textFill>
            <w14:solidFill>
              <w14:schemeClr w14:val="tx1"/>
            </w14:solidFill>
          </w14:textFill>
        </w:rPr>
      </w:pPr>
    </w:p>
    <w:p w14:paraId="6189F0ED">
      <w:pPr>
        <w:jc w:val="center"/>
        <w:rPr>
          <w:rFonts w:ascii="宋体" w:hAnsi="宋体" w:cs="宋体"/>
          <w:b/>
          <w:color w:val="000000" w:themeColor="text1"/>
          <w:kern w:val="21"/>
          <w:sz w:val="52"/>
          <w:szCs w:val="52"/>
          <w:highlight w:val="none"/>
          <w14:textFill>
            <w14:solidFill>
              <w14:schemeClr w14:val="tx1"/>
            </w14:solidFill>
          </w14:textFill>
        </w:rPr>
      </w:pPr>
      <w:r>
        <w:rPr>
          <w:rFonts w:hint="eastAsia" w:ascii="宋体" w:hAnsi="宋体" w:cs="宋体"/>
          <w:b/>
          <w:color w:val="000000" w:themeColor="text1"/>
          <w:kern w:val="21"/>
          <w:sz w:val="52"/>
          <w:szCs w:val="52"/>
          <w:highlight w:val="none"/>
          <w14:textFill>
            <w14:solidFill>
              <w14:schemeClr w14:val="tx1"/>
            </w14:solidFill>
          </w14:textFill>
        </w:rPr>
        <w:t>建设工程施工合同</w:t>
      </w:r>
      <w:r>
        <w:rPr>
          <w:rFonts w:hint="eastAsia" w:ascii="宋体" w:hAnsi="宋体" w:cs="宋体"/>
          <w:b/>
          <w:color w:val="000000" w:themeColor="text1"/>
          <w:kern w:val="21"/>
          <w:sz w:val="52"/>
          <w:szCs w:val="52"/>
          <w:highlight w:val="none"/>
          <w14:textFill>
            <w14:solidFill>
              <w14:schemeClr w14:val="tx1"/>
            </w14:solidFill>
          </w14:textFill>
        </w:rPr>
        <w:br w:type="textWrapping"/>
      </w:r>
    </w:p>
    <w:p w14:paraId="649647B3">
      <w:pPr>
        <w:jc w:val="center"/>
        <w:rPr>
          <w:rFonts w:ascii="宋体" w:hAnsi="宋体" w:cs="宋体"/>
          <w:b/>
          <w:color w:val="000000" w:themeColor="text1"/>
          <w:kern w:val="21"/>
          <w:sz w:val="52"/>
          <w:szCs w:val="52"/>
          <w:highlight w:val="none"/>
          <w14:textFill>
            <w14:solidFill>
              <w14:schemeClr w14:val="tx1"/>
            </w14:solidFill>
          </w14:textFill>
        </w:rPr>
      </w:pPr>
    </w:p>
    <w:p w14:paraId="14573772">
      <w:pPr>
        <w:jc w:val="center"/>
        <w:rPr>
          <w:rFonts w:ascii="宋体" w:hAnsi="宋体" w:cs="宋体"/>
          <w:b/>
          <w:color w:val="000000" w:themeColor="text1"/>
          <w:kern w:val="21"/>
          <w:sz w:val="72"/>
          <w:szCs w:val="72"/>
          <w:highlight w:val="none"/>
          <w14:textFill>
            <w14:solidFill>
              <w14:schemeClr w14:val="tx1"/>
            </w14:solidFill>
          </w14:textFill>
        </w:rPr>
      </w:pPr>
    </w:p>
    <w:p w14:paraId="76A43BF5">
      <w:pPr>
        <w:rPr>
          <w:rFonts w:ascii="宋体" w:hAnsi="宋体" w:cs="宋体"/>
          <w:b/>
          <w:color w:val="000000" w:themeColor="text1"/>
          <w:kern w:val="21"/>
          <w:sz w:val="28"/>
          <w:szCs w:val="28"/>
          <w:highlight w:val="none"/>
          <w14:textFill>
            <w14:solidFill>
              <w14:schemeClr w14:val="tx1"/>
            </w14:solidFill>
          </w14:textFill>
        </w:rPr>
      </w:pPr>
    </w:p>
    <w:p w14:paraId="58BEC75B">
      <w:pPr>
        <w:rPr>
          <w:rFonts w:ascii="宋体" w:hAnsi="宋体" w:cs="宋体"/>
          <w:b/>
          <w:color w:val="000000" w:themeColor="text1"/>
          <w:kern w:val="21"/>
          <w:sz w:val="28"/>
          <w:szCs w:val="28"/>
          <w:highlight w:val="none"/>
          <w14:textFill>
            <w14:solidFill>
              <w14:schemeClr w14:val="tx1"/>
            </w14:solidFill>
          </w14:textFill>
        </w:rPr>
      </w:pPr>
    </w:p>
    <w:p w14:paraId="5334E45D">
      <w:pPr>
        <w:rPr>
          <w:rFonts w:ascii="宋体" w:hAnsi="宋体" w:cs="宋体"/>
          <w:b/>
          <w:color w:val="000000" w:themeColor="text1"/>
          <w:kern w:val="21"/>
          <w:sz w:val="28"/>
          <w:szCs w:val="28"/>
          <w:highlight w:val="none"/>
          <w14:textFill>
            <w14:solidFill>
              <w14:schemeClr w14:val="tx1"/>
            </w14:solidFill>
          </w14:textFill>
        </w:rPr>
      </w:pPr>
    </w:p>
    <w:p w14:paraId="71B491C2">
      <w:pPr>
        <w:rPr>
          <w:rFonts w:ascii="宋体" w:hAnsi="宋体" w:cs="宋体"/>
          <w:b/>
          <w:color w:val="000000" w:themeColor="text1"/>
          <w:kern w:val="21"/>
          <w:sz w:val="28"/>
          <w:szCs w:val="28"/>
          <w:highlight w:val="none"/>
          <w14:textFill>
            <w14:solidFill>
              <w14:schemeClr w14:val="tx1"/>
            </w14:solidFill>
          </w14:textFill>
        </w:rPr>
      </w:pPr>
    </w:p>
    <w:p w14:paraId="0CE51858">
      <w:pPr>
        <w:rPr>
          <w:rFonts w:ascii="宋体" w:hAnsi="宋体" w:cs="宋体"/>
          <w:b/>
          <w:color w:val="000000" w:themeColor="text1"/>
          <w:kern w:val="21"/>
          <w:sz w:val="28"/>
          <w:szCs w:val="28"/>
          <w:highlight w:val="none"/>
          <w14:textFill>
            <w14:solidFill>
              <w14:schemeClr w14:val="tx1"/>
            </w14:solidFill>
          </w14:textFill>
        </w:rPr>
      </w:pPr>
    </w:p>
    <w:p w14:paraId="6D5C6717">
      <w:pPr>
        <w:ind w:right="2719" w:rightChars="1295" w:firstLine="2738" w:firstLineChars="1304"/>
        <w:jc w:val="distribute"/>
        <w:rPr>
          <w:rFonts w:ascii="宋体" w:hAnsi="宋体" w:cs="宋体"/>
          <w:b/>
          <w:color w:val="000000" w:themeColor="text1"/>
          <w:kern w:val="21"/>
          <w:sz w:val="32"/>
          <w:szCs w:val="28"/>
          <w:highlight w:val="none"/>
          <w14:textFill>
            <w14:solidFill>
              <w14:schemeClr w14:val="tx1"/>
            </w14:solidFill>
          </w14:textFill>
        </w:rPr>
      </w:pPr>
      <w:r>
        <w:rPr>
          <w:rFonts w:hint="eastAsia" w:ascii="宋体" w:hAnsi="宋体" w:cs="宋体"/>
          <w:color w:val="000000" w:themeColor="text1"/>
          <w:kern w:val="21"/>
          <w:highlight w:val="none"/>
          <w14:textFill>
            <w14:solidFill>
              <w14:schemeClr w14:val="tx1"/>
            </w14:solidFill>
          </w14:textFill>
        </w:rPr>
        <mc:AlternateContent>
          <mc:Choice Requires="wps">
            <w:drawing>
              <wp:anchor distT="0" distB="0" distL="0" distR="0" simplePos="0" relativeHeight="251659264" behindDoc="0" locked="0" layoutInCell="1" allowOverlap="1">
                <wp:simplePos x="0" y="0"/>
                <wp:positionH relativeFrom="column">
                  <wp:posOffset>4721225</wp:posOffset>
                </wp:positionH>
                <wp:positionV relativeFrom="paragraph">
                  <wp:posOffset>119380</wp:posOffset>
                </wp:positionV>
                <wp:extent cx="723900" cy="457200"/>
                <wp:effectExtent l="4445" t="4445" r="5080" b="5080"/>
                <wp:wrapNone/>
                <wp:docPr id="1026" name="文本框 4"/>
                <wp:cNvGraphicFramePr/>
                <a:graphic xmlns:a="http://schemas.openxmlformats.org/drawingml/2006/main">
                  <a:graphicData uri="http://schemas.microsoft.com/office/word/2010/wordprocessingShape">
                    <wps:wsp>
                      <wps:cNvSpPr/>
                      <wps:spPr>
                        <a:xfrm>
                          <a:off x="0" y="0"/>
                          <a:ext cx="723900" cy="457200"/>
                        </a:xfrm>
                        <a:prstGeom prst="rect">
                          <a:avLst/>
                        </a:prstGeom>
                        <a:ln w="9525" cap="flat" cmpd="sng">
                          <a:solidFill>
                            <a:srgbClr val="FFFFFF"/>
                          </a:solidFill>
                          <a:prstDash val="solid"/>
                          <a:miter/>
                          <a:headEnd type="none" w="med" len="med"/>
                          <a:tailEnd type="none" w="med" len="med"/>
                        </a:ln>
                      </wps:spPr>
                      <wps:txbx>
                        <w:txbxContent>
                          <w:p w14:paraId="6E747B2E">
                            <w:pPr>
                              <w:rPr>
                                <w:b/>
                                <w:bCs/>
                                <w:sz w:val="32"/>
                              </w:rPr>
                            </w:pPr>
                            <w:r>
                              <w:rPr>
                                <w:rFonts w:hint="eastAsia"/>
                                <w:b/>
                                <w:bCs/>
                                <w:sz w:val="32"/>
                              </w:rPr>
                              <w:t>制定</w:t>
                            </w:r>
                          </w:p>
                        </w:txbxContent>
                      </wps:txbx>
                      <wps:bodyPr upright="1"/>
                    </wps:wsp>
                  </a:graphicData>
                </a:graphic>
              </wp:anchor>
            </w:drawing>
          </mc:Choice>
          <mc:Fallback>
            <w:pict>
              <v:rect id="文本框 4" o:spid="_x0000_s1026" o:spt="1" style="position:absolute;left:0pt;margin-left:371.75pt;margin-top:9.4pt;height:36pt;width:57pt;z-index:251659264;mso-width-relative:page;mso-height-relative:page;" filled="f" stroked="t" coordsize="21600,21600" o:gfxdata="UEsDBAoAAAAAAIdO4kAAAAAAAAAAAAAAAAAEAAAAZHJzL1BLAwQUAAAACACHTuJADMk5Q9kAAAAJ&#10;AQAADwAAAGRycy9kb3ducmV2LnhtbE2PwU7DMBBE70j8g7VIXCrqlFISQpwekJCQ6IUWoR7deIkD&#10;9jqK3bTl67uc4LgzT7Mz1fLonRhxiF0gBbNpBgKpCaajVsH75vmmABGTJqNdIFRwwgjL+vKi0qUJ&#10;B3rDcZ1awSEUS63AptSXUsbGotdxGnok9j7D4HXic2ilGfSBw72Tt1l2L73uiD9Y3eOTxeZ7vfcK&#10;vkZsaTXZfNjcvZ7idv7yM+m3Sl1fzbJHEAmP6Q+G3/pcHWrutAt7MlE4BfndfMEoGwVPYKBY5Czs&#10;FDxkBci6kv8X1GdQSwMEFAAAAAgAh07iQM/4Daz9AQAA+gMAAA4AAABkcnMvZTJvRG9jLnhtbK1T&#10;S5LTMBDdU8UdVNoTO2Eyw7jizIIQNhRM1cABOpJsq0q/kpTYuQDcgBUb9pwr55iWbDIwbLLAC7ml&#10;br3u97q1uhu0Igfhg7SmpvNZSYkwzHJp2pp++bx99YaSEMFwUNaImh5FoHfrly9WvavEwnZWceEJ&#10;gphQ9a6mXYyuKorAOqEhzKwTBp2N9Roibn1bcA89omtVLMryuuit585bJkLA083opBOivwTQNo1k&#10;YmPZXgsTR1QvFESkFDrpAl3naptGsPipaYKIRNUUmca8YhK0d2kt1iuoWg+uk2wqAS4p4RknDdJg&#10;0jPUBiKQvZf/QGnJvA22iTNmdTESyYogi3n5TJuHDpzIXFDq4M6ih/8Hyz4e7j2RHCehXFxTYkBj&#10;z0/fv51+/Dr9/EqukkK9CxUGPrh7P+0Cmonu0Hid/kiEDFnV41lVMUTC8PBm8fq2RL0Zuq6WNzgD&#10;CbN4uux8iO+F1SQZNfXYtKwlHD6EOIb+Dkm5lCF9TW+XiyViAk5gg51HUztkEUyb7warJN9KpdKN&#10;4NvdW+XJAXAKtvmbSvgrLCXZQOjGuOxKYVBpGUViDlUngL8znMSjQ5kMPhCaitGCU6IEvqdk5cgI&#10;Ul0SiToog3IkjUdVkxWH3YAwydxZfsQW7Z2XbYfyzHPpyYMjkXWcxjfN3J/7DPr0ZNe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DMk5Q9kAAAAJAQAADwAAAAAAAAABACAAAAAiAAAAZHJzL2Rvd25y&#10;ZXYueG1sUEsBAhQAFAAAAAgAh07iQM/4Daz9AQAA+gMAAA4AAAAAAAAAAQAgAAAAKAEAAGRycy9l&#10;Mm9Eb2MueG1sUEsFBgAAAAAGAAYAWQEAAJcFAAAAAA==&#10;">
                <v:fill on="f" focussize="0,0"/>
                <v:stroke color="#FFFFFF" joinstyle="miter"/>
                <v:imagedata o:title=""/>
                <o:lock v:ext="edit" aspectratio="f"/>
                <v:textbox>
                  <w:txbxContent>
                    <w:p w14:paraId="6E747B2E">
                      <w:pPr>
                        <w:rPr>
                          <w:b/>
                          <w:bCs/>
                          <w:sz w:val="32"/>
                        </w:rPr>
                      </w:pPr>
                      <w:r>
                        <w:rPr>
                          <w:rFonts w:hint="eastAsia"/>
                          <w:b/>
                          <w:bCs/>
                          <w:sz w:val="32"/>
                        </w:rPr>
                        <w:t>制定</w:t>
                      </w:r>
                    </w:p>
                  </w:txbxContent>
                </v:textbox>
              </v:rect>
            </w:pict>
          </mc:Fallback>
        </mc:AlternateContent>
      </w:r>
      <w:r>
        <w:rPr>
          <w:rFonts w:hint="eastAsia" w:ascii="宋体" w:hAnsi="宋体" w:cs="宋体"/>
          <w:b/>
          <w:color w:val="000000" w:themeColor="text1"/>
          <w:kern w:val="21"/>
          <w:sz w:val="32"/>
          <w:szCs w:val="28"/>
          <w:highlight w:val="none"/>
          <w14:textFill>
            <w14:solidFill>
              <w14:schemeClr w14:val="tx1"/>
            </w14:solidFill>
          </w14:textFill>
        </w:rPr>
        <w:t>住房城乡建设部</w:t>
      </w:r>
    </w:p>
    <w:p w14:paraId="6556302D">
      <w:pPr>
        <w:ind w:right="2719" w:rightChars="1295" w:firstLine="2750" w:firstLineChars="856"/>
        <w:jc w:val="distribute"/>
        <w:rPr>
          <w:rFonts w:ascii="宋体" w:hAnsi="宋体" w:cs="宋体"/>
          <w:b/>
          <w:color w:val="000000" w:themeColor="text1"/>
          <w:kern w:val="21"/>
          <w:sz w:val="32"/>
          <w:szCs w:val="28"/>
          <w:highlight w:val="none"/>
          <w14:textFill>
            <w14:solidFill>
              <w14:schemeClr w14:val="tx1"/>
            </w14:solidFill>
          </w14:textFill>
        </w:rPr>
      </w:pPr>
      <w:r>
        <w:rPr>
          <w:rFonts w:hint="eastAsia" w:ascii="宋体" w:hAnsi="宋体" w:cs="宋体"/>
          <w:b/>
          <w:color w:val="000000" w:themeColor="text1"/>
          <w:kern w:val="21"/>
          <w:sz w:val="32"/>
          <w:szCs w:val="28"/>
          <w:highlight w:val="none"/>
          <w14:textFill>
            <w14:solidFill>
              <w14:schemeClr w14:val="tx1"/>
            </w14:solidFill>
          </w14:textFill>
        </w:rPr>
        <w:t>国家工商行政管理总局</w:t>
      </w:r>
    </w:p>
    <w:p w14:paraId="3E9EAAF7">
      <w:pPr>
        <w:spacing w:line="480" w:lineRule="exact"/>
        <w:rPr>
          <w:rFonts w:ascii="宋体" w:hAnsi="宋体" w:cs="宋体"/>
          <w:color w:val="000000" w:themeColor="text1"/>
          <w:kern w:val="21"/>
          <w:szCs w:val="21"/>
          <w:highlight w:val="none"/>
          <w14:textFill>
            <w14:solidFill>
              <w14:schemeClr w14:val="tx1"/>
            </w14:solidFill>
          </w14:textFill>
        </w:rPr>
        <w:sectPr>
          <w:footerReference r:id="rId4" w:type="first"/>
          <w:footerReference r:id="rId3" w:type="default"/>
          <w:pgSz w:w="11906" w:h="16838"/>
          <w:pgMar w:top="1440" w:right="1080" w:bottom="1440" w:left="1080" w:header="851" w:footer="992" w:gutter="0"/>
          <w:cols w:space="720" w:num="1"/>
          <w:titlePg/>
          <w:docGrid w:type="lines" w:linePitch="312" w:charSpace="0"/>
        </w:sectPr>
      </w:pPr>
      <w:bookmarkStart w:id="0" w:name="_Toc296890982"/>
      <w:bookmarkStart w:id="1" w:name="_Toc296503025"/>
      <w:bookmarkStart w:id="2" w:name="_Toc351203480"/>
    </w:p>
    <w:p w14:paraId="5804CEEE">
      <w:pPr>
        <w:pStyle w:val="3"/>
        <w:spacing w:line="480" w:lineRule="exact"/>
        <w:jc w:val="center"/>
        <w:rPr>
          <w:rFonts w:ascii="宋体" w:hAnsi="宋体" w:cs="宋体"/>
          <w:color w:val="000000" w:themeColor="text1"/>
          <w:kern w:val="21"/>
          <w:sz w:val="22"/>
          <w:szCs w:val="22"/>
          <w:highlight w:val="none"/>
          <w14:textFill>
            <w14:solidFill>
              <w14:schemeClr w14:val="tx1"/>
            </w14:solidFill>
          </w14:textFill>
        </w:rPr>
      </w:pPr>
      <w:r>
        <w:rPr>
          <w:rFonts w:hint="eastAsia" w:ascii="宋体" w:hAnsi="宋体" w:cs="宋体"/>
          <w:color w:val="000000" w:themeColor="text1"/>
          <w:kern w:val="21"/>
          <w:sz w:val="22"/>
          <w:szCs w:val="22"/>
          <w:highlight w:val="none"/>
          <w14:textFill>
            <w14:solidFill>
              <w14:schemeClr w14:val="tx1"/>
            </w14:solidFill>
          </w14:textFill>
        </w:rPr>
        <w:t>第一部分 合同协议书</w:t>
      </w:r>
      <w:bookmarkEnd w:id="0"/>
      <w:bookmarkEnd w:id="1"/>
      <w:bookmarkEnd w:id="2"/>
    </w:p>
    <w:p w14:paraId="37C8E224">
      <w:pPr>
        <w:spacing w:line="480" w:lineRule="exact"/>
        <w:rPr>
          <w:rFonts w:ascii="宋体" w:hAnsi="宋体" w:cs="宋体"/>
          <w:b/>
          <w:color w:val="000000" w:themeColor="text1"/>
          <w:kern w:val="21"/>
          <w:szCs w:val="21"/>
          <w:highlight w:val="none"/>
          <w:u w:val="single"/>
          <w14:textFill>
            <w14:solidFill>
              <w14:schemeClr w14:val="tx1"/>
            </w14:solidFill>
          </w14:textFill>
        </w:rPr>
      </w:pPr>
      <w:r>
        <w:rPr>
          <w:rFonts w:hint="eastAsia" w:ascii="宋体" w:hAnsi="宋体" w:cs="宋体"/>
          <w:b/>
          <w:color w:val="000000" w:themeColor="text1"/>
          <w:kern w:val="21"/>
          <w:szCs w:val="21"/>
          <w:highlight w:val="none"/>
          <w14:textFill>
            <w14:solidFill>
              <w14:schemeClr w14:val="tx1"/>
            </w14:solidFill>
          </w14:textFill>
        </w:rPr>
        <w:t>发包人（全称）：</w:t>
      </w:r>
      <w:r>
        <w:rPr>
          <w:rFonts w:hint="eastAsia" w:ascii="宋体" w:hAnsi="宋体" w:cs="宋体"/>
          <w:b/>
          <w:color w:val="000000" w:themeColor="text1"/>
          <w:kern w:val="21"/>
          <w:szCs w:val="21"/>
          <w:highlight w:val="none"/>
          <w:u w:val="single"/>
          <w14:textFill>
            <w14:solidFill>
              <w14:schemeClr w14:val="tx1"/>
            </w14:solidFill>
          </w14:textFill>
        </w:rPr>
        <w:t>                       </w:t>
      </w:r>
    </w:p>
    <w:p w14:paraId="5D3D3DCA">
      <w:pPr>
        <w:spacing w:line="480" w:lineRule="exact"/>
        <w:rPr>
          <w:rFonts w:ascii="宋体" w:hAnsi="宋体" w:cs="宋体"/>
          <w:b/>
          <w:color w:val="000000" w:themeColor="text1"/>
          <w:kern w:val="21"/>
          <w:szCs w:val="21"/>
          <w:highlight w:val="none"/>
          <w:u w:val="single"/>
          <w14:textFill>
            <w14:solidFill>
              <w14:schemeClr w14:val="tx1"/>
            </w14:solidFill>
          </w14:textFill>
        </w:rPr>
      </w:pPr>
      <w:r>
        <w:rPr>
          <w:rFonts w:hint="eastAsia" w:ascii="宋体" w:hAnsi="宋体" w:cs="宋体"/>
          <w:b/>
          <w:color w:val="000000" w:themeColor="text1"/>
          <w:kern w:val="21"/>
          <w:szCs w:val="21"/>
          <w:highlight w:val="none"/>
          <w14:textFill>
            <w14:solidFill>
              <w14:schemeClr w14:val="tx1"/>
            </w14:solidFill>
          </w14:textFill>
        </w:rPr>
        <w:t>承包人（全称）：</w:t>
      </w:r>
      <w:r>
        <w:rPr>
          <w:rFonts w:hint="eastAsia" w:ascii="宋体" w:hAnsi="宋体" w:cs="宋体"/>
          <w:b/>
          <w:color w:val="000000" w:themeColor="text1"/>
          <w:kern w:val="21"/>
          <w:szCs w:val="21"/>
          <w:highlight w:val="none"/>
          <w:u w:val="single"/>
          <w14:textFill>
            <w14:solidFill>
              <w14:schemeClr w14:val="tx1"/>
            </w14:solidFill>
          </w14:textFill>
        </w:rPr>
        <w:t>                      </w:t>
      </w:r>
    </w:p>
    <w:p w14:paraId="0C131B3A">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根据《中华人民共和国民法典》、《中华人民共和国建筑法》及有关法律规定，遵循平等、自愿、公平和诚实信用的原则，双方就施工及有关事项协商一致，共同达成如下协议：</w:t>
      </w:r>
    </w:p>
    <w:p w14:paraId="065C102C">
      <w:pPr>
        <w:pStyle w:val="4"/>
        <w:tabs>
          <w:tab w:val="left" w:pos="864"/>
        </w:tabs>
        <w:spacing w:before="120" w:after="120" w:line="480" w:lineRule="exact"/>
        <w:textAlignment w:val="auto"/>
        <w:rPr>
          <w:rFonts w:ascii="宋体" w:hAnsi="宋体" w:cs="宋体"/>
          <w:color w:val="000000" w:themeColor="text1"/>
          <w:kern w:val="21"/>
          <w:sz w:val="21"/>
          <w:szCs w:val="21"/>
          <w:highlight w:val="none"/>
          <w14:textFill>
            <w14:solidFill>
              <w14:schemeClr w14:val="tx1"/>
            </w14:solidFill>
          </w14:textFill>
        </w:rPr>
      </w:pPr>
      <w:r>
        <w:rPr>
          <w:rFonts w:hint="eastAsia" w:ascii="宋体" w:hAnsi="宋体" w:cs="宋体"/>
          <w:color w:val="000000" w:themeColor="text1"/>
          <w:kern w:val="21"/>
          <w:sz w:val="21"/>
          <w:szCs w:val="21"/>
          <w:highlight w:val="none"/>
          <w14:textFill>
            <w14:solidFill>
              <w14:schemeClr w14:val="tx1"/>
            </w14:solidFill>
          </w14:textFill>
        </w:rPr>
        <w:t xml:space="preserve">   </w:t>
      </w:r>
      <w:r>
        <w:rPr>
          <w:rFonts w:hint="eastAsia" w:ascii="宋体" w:hAnsi="宋体" w:cs="宋体"/>
          <w:b w:val="0"/>
          <w:color w:val="000000" w:themeColor="text1"/>
          <w:kern w:val="21"/>
          <w:sz w:val="21"/>
          <w:szCs w:val="21"/>
          <w:highlight w:val="none"/>
          <w14:textFill>
            <w14:solidFill>
              <w14:schemeClr w14:val="tx1"/>
            </w14:solidFill>
          </w14:textFill>
        </w:rPr>
        <w:t xml:space="preserve"> </w:t>
      </w:r>
      <w:bookmarkStart w:id="3" w:name="_Toc351203481"/>
      <w:r>
        <w:rPr>
          <w:rFonts w:hint="eastAsia" w:ascii="宋体" w:hAnsi="宋体" w:cs="宋体"/>
          <w:b w:val="0"/>
          <w:color w:val="000000" w:themeColor="text1"/>
          <w:kern w:val="21"/>
          <w:sz w:val="21"/>
          <w:szCs w:val="21"/>
          <w:highlight w:val="none"/>
          <w14:textFill>
            <w14:solidFill>
              <w14:schemeClr w14:val="tx1"/>
            </w14:solidFill>
          </w14:textFill>
        </w:rPr>
        <w:t>一、工程概况</w:t>
      </w:r>
      <w:bookmarkEnd w:id="3"/>
    </w:p>
    <w:p w14:paraId="250C5A35">
      <w:pPr>
        <w:spacing w:line="560" w:lineRule="exact"/>
        <w:ind w:firstLine="420" w:firstLineChars="200"/>
        <w:rPr>
          <w:rFonts w:ascii="宋体" w:hAnsi="宋体" w:cs="宋体"/>
          <w:bCs/>
          <w:color w:val="000000" w:themeColor="text1"/>
          <w:kern w:val="21"/>
          <w:szCs w:val="21"/>
          <w:highlight w:val="none"/>
          <w14:textFill>
            <w14:solidFill>
              <w14:schemeClr w14:val="tx1"/>
            </w14:solidFill>
          </w14:textFill>
        </w:rPr>
      </w:pPr>
      <w:r>
        <w:rPr>
          <w:rFonts w:hint="eastAsia" w:ascii="宋体" w:hAnsi="宋体" w:cs="宋体"/>
          <w:bCs/>
          <w:color w:val="000000" w:themeColor="text1"/>
          <w:kern w:val="21"/>
          <w:szCs w:val="21"/>
          <w:highlight w:val="none"/>
          <w14:textFill>
            <w14:solidFill>
              <w14:schemeClr w14:val="tx1"/>
            </w14:solidFill>
          </w14:textFill>
        </w:rPr>
        <w:t>1.工程名称：</w:t>
      </w:r>
      <w:r>
        <w:rPr>
          <w:rFonts w:hint="eastAsia" w:ascii="宋体" w:hAnsi="宋体" w:cs="宋体"/>
          <w:color w:val="000000" w:themeColor="text1"/>
          <w:kern w:val="21"/>
          <w:szCs w:val="21"/>
          <w:highlight w:val="none"/>
          <w:u w:val="single"/>
          <w14:textFill>
            <w14:solidFill>
              <w14:schemeClr w14:val="tx1"/>
            </w14:solidFill>
          </w14:textFill>
        </w:rPr>
        <w:t xml:space="preserve">   渭南市华州区中小学宿舍楼消防系统改造项目   </w:t>
      </w:r>
      <w:r>
        <w:rPr>
          <w:rFonts w:hint="eastAsia" w:ascii="宋体" w:hAnsi="宋体" w:cs="宋体"/>
          <w:bCs/>
          <w:color w:val="000000" w:themeColor="text1"/>
          <w:kern w:val="21"/>
          <w:szCs w:val="21"/>
          <w:highlight w:val="none"/>
          <w14:textFill>
            <w14:solidFill>
              <w14:schemeClr w14:val="tx1"/>
            </w14:solidFill>
          </w14:textFill>
        </w:rPr>
        <w:t>。</w:t>
      </w:r>
    </w:p>
    <w:p w14:paraId="2449B2BB">
      <w:pPr>
        <w:spacing w:line="480" w:lineRule="exact"/>
        <w:ind w:firstLine="411" w:firstLineChars="196"/>
        <w:rPr>
          <w:rFonts w:ascii="宋体" w:hAnsi="宋体" w:cs="宋体"/>
          <w:bCs/>
          <w:color w:val="000000" w:themeColor="text1"/>
          <w:kern w:val="21"/>
          <w:szCs w:val="21"/>
          <w:highlight w:val="none"/>
          <w14:textFill>
            <w14:solidFill>
              <w14:schemeClr w14:val="tx1"/>
            </w14:solidFill>
          </w14:textFill>
        </w:rPr>
      </w:pPr>
      <w:r>
        <w:rPr>
          <w:rFonts w:hint="eastAsia" w:ascii="宋体" w:hAnsi="宋体" w:cs="宋体"/>
          <w:bCs/>
          <w:color w:val="000000" w:themeColor="text1"/>
          <w:kern w:val="21"/>
          <w:szCs w:val="21"/>
          <w:highlight w:val="none"/>
          <w14:textFill>
            <w14:solidFill>
              <w14:schemeClr w14:val="tx1"/>
            </w14:solidFill>
          </w14:textFill>
        </w:rPr>
        <w:t>2.工程地点：</w:t>
      </w:r>
      <w:r>
        <w:rPr>
          <w:rFonts w:hint="eastAsia" w:ascii="宋体" w:hAnsi="宋体" w:cs="宋体"/>
          <w:color w:val="000000" w:themeColor="text1"/>
          <w:kern w:val="21"/>
          <w:szCs w:val="21"/>
          <w:highlight w:val="none"/>
          <w:u w:val="single"/>
          <w14:textFill>
            <w14:solidFill>
              <w14:schemeClr w14:val="tx1"/>
            </w14:solidFill>
          </w14:textFill>
        </w:rPr>
        <w:t xml:space="preserve">                                 </w:t>
      </w:r>
      <w:r>
        <w:rPr>
          <w:rFonts w:hint="eastAsia" w:ascii="宋体" w:hAnsi="宋体" w:cs="宋体"/>
          <w:color w:val="000000" w:themeColor="text1"/>
          <w:kern w:val="21"/>
          <w:szCs w:val="21"/>
          <w:highlight w:val="none"/>
          <w14:textFill>
            <w14:solidFill>
              <w14:schemeClr w14:val="tx1"/>
            </w14:solidFill>
          </w14:textFill>
        </w:rPr>
        <w:t>。</w:t>
      </w:r>
    </w:p>
    <w:p w14:paraId="49F51A5F">
      <w:pPr>
        <w:spacing w:line="480" w:lineRule="exact"/>
        <w:ind w:firstLine="411" w:firstLineChars="196"/>
        <w:rPr>
          <w:rFonts w:ascii="宋体" w:hAnsi="宋体" w:cs="宋体"/>
          <w:bCs/>
          <w:color w:val="000000" w:themeColor="text1"/>
          <w:kern w:val="21"/>
          <w:szCs w:val="21"/>
          <w:highlight w:val="none"/>
          <w14:textFill>
            <w14:solidFill>
              <w14:schemeClr w14:val="tx1"/>
            </w14:solidFill>
          </w14:textFill>
        </w:rPr>
      </w:pPr>
      <w:r>
        <w:rPr>
          <w:rFonts w:hint="eastAsia" w:ascii="宋体" w:hAnsi="宋体" w:cs="宋体"/>
          <w:bCs/>
          <w:color w:val="000000" w:themeColor="text1"/>
          <w:kern w:val="21"/>
          <w:szCs w:val="21"/>
          <w:highlight w:val="none"/>
          <w14:textFill>
            <w14:solidFill>
              <w14:schemeClr w14:val="tx1"/>
            </w14:solidFill>
          </w14:textFill>
        </w:rPr>
        <w:t>3.工程立项批准文号：</w:t>
      </w:r>
      <w:r>
        <w:rPr>
          <w:rFonts w:hint="eastAsia" w:ascii="宋体" w:hAnsi="宋体" w:cs="宋体"/>
          <w:color w:val="000000" w:themeColor="text1"/>
          <w:kern w:val="21"/>
          <w:szCs w:val="21"/>
          <w:highlight w:val="none"/>
          <w:u w:val="single"/>
          <w14:textFill>
            <w14:solidFill>
              <w14:schemeClr w14:val="tx1"/>
            </w14:solidFill>
          </w14:textFill>
        </w:rPr>
        <w:t xml:space="preserve">           </w:t>
      </w:r>
      <w:r>
        <w:rPr>
          <w:rFonts w:hint="eastAsia" w:ascii="宋体" w:hAnsi="宋体" w:cs="宋体"/>
          <w:bCs/>
          <w:color w:val="000000" w:themeColor="text1"/>
          <w:kern w:val="21"/>
          <w:szCs w:val="21"/>
          <w:highlight w:val="none"/>
          <w14:textFill>
            <w14:solidFill>
              <w14:schemeClr w14:val="tx1"/>
            </w14:solidFill>
          </w14:textFill>
        </w:rPr>
        <w:t>。</w:t>
      </w:r>
    </w:p>
    <w:p w14:paraId="16E846A5">
      <w:pPr>
        <w:spacing w:line="480" w:lineRule="exact"/>
        <w:ind w:firstLine="411" w:firstLineChars="196"/>
        <w:rPr>
          <w:rFonts w:ascii="宋体" w:hAnsi="宋体" w:cs="宋体"/>
          <w:bCs/>
          <w:color w:val="000000" w:themeColor="text1"/>
          <w:kern w:val="21"/>
          <w:szCs w:val="21"/>
          <w:highlight w:val="none"/>
          <w14:textFill>
            <w14:solidFill>
              <w14:schemeClr w14:val="tx1"/>
            </w14:solidFill>
          </w14:textFill>
        </w:rPr>
      </w:pPr>
      <w:r>
        <w:rPr>
          <w:rFonts w:hint="eastAsia" w:ascii="宋体" w:hAnsi="宋体" w:cs="宋体"/>
          <w:bCs/>
          <w:color w:val="000000" w:themeColor="text1"/>
          <w:kern w:val="21"/>
          <w:szCs w:val="21"/>
          <w:highlight w:val="none"/>
          <w14:textFill>
            <w14:solidFill>
              <w14:schemeClr w14:val="tx1"/>
            </w14:solidFill>
          </w14:textFill>
        </w:rPr>
        <w:t>4.资金来源：</w:t>
      </w:r>
      <w:r>
        <w:rPr>
          <w:rFonts w:hint="eastAsia" w:ascii="宋体" w:hAnsi="宋体" w:cs="宋体"/>
          <w:color w:val="000000" w:themeColor="text1"/>
          <w:kern w:val="21"/>
          <w:szCs w:val="21"/>
          <w:highlight w:val="none"/>
          <w:u w:val="single"/>
          <w14:textFill>
            <w14:solidFill>
              <w14:schemeClr w14:val="tx1"/>
            </w14:solidFill>
          </w14:textFill>
        </w:rPr>
        <w:t xml:space="preserve">                                 </w:t>
      </w:r>
      <w:r>
        <w:rPr>
          <w:rFonts w:hint="eastAsia" w:ascii="宋体" w:hAnsi="宋体" w:cs="宋体"/>
          <w:bCs/>
          <w:color w:val="000000" w:themeColor="text1"/>
          <w:kern w:val="21"/>
          <w:szCs w:val="21"/>
          <w:highlight w:val="none"/>
          <w14:textFill>
            <w14:solidFill>
              <w14:schemeClr w14:val="tx1"/>
            </w14:solidFill>
          </w14:textFill>
        </w:rPr>
        <w:t>。</w:t>
      </w:r>
    </w:p>
    <w:p w14:paraId="0670320F">
      <w:pPr>
        <w:spacing w:line="480" w:lineRule="exact"/>
        <w:ind w:firstLine="411" w:firstLineChars="196"/>
        <w:rPr>
          <w:rFonts w:ascii="宋体" w:hAnsi="宋体" w:cs="宋体"/>
          <w:bCs/>
          <w:color w:val="000000" w:themeColor="text1"/>
          <w:kern w:val="21"/>
          <w:szCs w:val="21"/>
          <w:highlight w:val="none"/>
          <w14:textFill>
            <w14:solidFill>
              <w14:schemeClr w14:val="tx1"/>
            </w14:solidFill>
          </w14:textFill>
        </w:rPr>
      </w:pPr>
      <w:r>
        <w:rPr>
          <w:rFonts w:hint="eastAsia" w:ascii="宋体" w:hAnsi="宋体" w:cs="宋体"/>
          <w:bCs/>
          <w:color w:val="000000" w:themeColor="text1"/>
          <w:kern w:val="21"/>
          <w:szCs w:val="21"/>
          <w:highlight w:val="none"/>
          <w14:textFill>
            <w14:solidFill>
              <w14:schemeClr w14:val="tx1"/>
            </w14:solidFill>
          </w14:textFill>
        </w:rPr>
        <w:t>5.工程内容：</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bCs/>
          <w:color w:val="000000" w:themeColor="text1"/>
          <w:kern w:val="21"/>
          <w:szCs w:val="21"/>
          <w:highlight w:val="none"/>
          <w14:textFill>
            <w14:solidFill>
              <w14:schemeClr w14:val="tx1"/>
            </w14:solidFill>
          </w14:textFill>
        </w:rPr>
        <w:t>。</w:t>
      </w:r>
    </w:p>
    <w:p w14:paraId="5F027D70">
      <w:pPr>
        <w:spacing w:line="480" w:lineRule="exact"/>
        <w:ind w:firstLine="411" w:firstLineChars="196"/>
        <w:rPr>
          <w:rFonts w:ascii="宋体" w:hAnsi="宋体" w:cs="宋体"/>
          <w:bCs/>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群体工程应附《承包人承揽工程项目一览表》（附件1）。</w:t>
      </w:r>
    </w:p>
    <w:p w14:paraId="3E10B1BD">
      <w:pPr>
        <w:spacing w:line="480" w:lineRule="exact"/>
        <w:ind w:firstLine="411" w:firstLineChars="196"/>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bCs/>
          <w:color w:val="000000" w:themeColor="text1"/>
          <w:kern w:val="21"/>
          <w:szCs w:val="21"/>
          <w:highlight w:val="none"/>
          <w14:textFill>
            <w14:solidFill>
              <w14:schemeClr w14:val="tx1"/>
            </w14:solidFill>
          </w14:textFill>
        </w:rPr>
        <w:t>7.工程承包范围：</w:t>
      </w:r>
      <w:r>
        <w:rPr>
          <w:rFonts w:hint="eastAsia" w:ascii="宋体" w:hAnsi="宋体" w:cs="宋体"/>
          <w:color w:val="000000" w:themeColor="text1"/>
          <w:kern w:val="21"/>
          <w:szCs w:val="21"/>
          <w:highlight w:val="none"/>
          <w:u w:val="single"/>
          <w14:textFill>
            <w14:solidFill>
              <w14:schemeClr w14:val="tx1"/>
            </w14:solidFill>
          </w14:textFill>
        </w:rPr>
        <w:t>详见工程量清单</w:t>
      </w:r>
      <w:r>
        <w:rPr>
          <w:rFonts w:hint="eastAsia" w:ascii="宋体" w:hAnsi="宋体" w:cs="宋体"/>
          <w:color w:val="000000" w:themeColor="text1"/>
          <w:kern w:val="21"/>
          <w:szCs w:val="21"/>
          <w:highlight w:val="none"/>
          <w14:textFill>
            <w14:solidFill>
              <w14:schemeClr w14:val="tx1"/>
            </w14:solidFill>
          </w14:textFill>
        </w:rPr>
        <w:t>。</w:t>
      </w:r>
    </w:p>
    <w:p w14:paraId="6178B614">
      <w:pPr>
        <w:pStyle w:val="4"/>
        <w:tabs>
          <w:tab w:val="left" w:pos="864"/>
        </w:tabs>
        <w:spacing w:before="120" w:after="120" w:line="480" w:lineRule="exact"/>
        <w:textAlignment w:val="auto"/>
        <w:rPr>
          <w:rFonts w:ascii="宋体" w:hAnsi="宋体" w:cs="宋体"/>
          <w:b w:val="0"/>
          <w:color w:val="000000" w:themeColor="text1"/>
          <w:kern w:val="21"/>
          <w:sz w:val="21"/>
          <w:szCs w:val="21"/>
          <w:highlight w:val="none"/>
          <w14:textFill>
            <w14:solidFill>
              <w14:schemeClr w14:val="tx1"/>
            </w14:solidFill>
          </w14:textFill>
        </w:rPr>
      </w:pPr>
      <w:r>
        <w:rPr>
          <w:rFonts w:hint="eastAsia" w:ascii="宋体" w:hAnsi="宋体" w:cs="宋体"/>
          <w:b w:val="0"/>
          <w:color w:val="000000" w:themeColor="text1"/>
          <w:kern w:val="21"/>
          <w:sz w:val="21"/>
          <w:szCs w:val="21"/>
          <w:highlight w:val="none"/>
          <w14:textFill>
            <w14:solidFill>
              <w14:schemeClr w14:val="tx1"/>
            </w14:solidFill>
          </w14:textFill>
        </w:rPr>
        <w:t xml:space="preserve">   </w:t>
      </w:r>
      <w:bookmarkStart w:id="4" w:name="_Toc351203482"/>
      <w:r>
        <w:rPr>
          <w:rFonts w:hint="eastAsia" w:ascii="宋体" w:hAnsi="宋体" w:cs="宋体"/>
          <w:b w:val="0"/>
          <w:color w:val="000000" w:themeColor="text1"/>
          <w:kern w:val="21"/>
          <w:sz w:val="21"/>
          <w:szCs w:val="21"/>
          <w:highlight w:val="none"/>
          <w14:textFill>
            <w14:solidFill>
              <w14:schemeClr w14:val="tx1"/>
            </w14:solidFill>
          </w14:textFill>
        </w:rPr>
        <w:t>二、合同工期</w:t>
      </w:r>
      <w:bookmarkEnd w:id="4"/>
    </w:p>
    <w:p w14:paraId="5D1617DF">
      <w:pPr>
        <w:spacing w:line="480" w:lineRule="exact"/>
        <w:ind w:firstLine="459"/>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计划开工日期：</w:t>
      </w:r>
      <w:r>
        <w:rPr>
          <w:rFonts w:hint="eastAsia" w:ascii="宋体" w:hAnsi="宋体" w:cs="宋体"/>
          <w:color w:val="000000" w:themeColor="text1"/>
          <w:kern w:val="21"/>
          <w:szCs w:val="21"/>
          <w:highlight w:val="none"/>
          <w:u w:val="single"/>
          <w14:textFill>
            <w14:solidFill>
              <w14:schemeClr w14:val="tx1"/>
            </w14:solidFill>
          </w14:textFill>
        </w:rPr>
        <w:t></w:t>
      </w:r>
      <w:r>
        <w:rPr>
          <w:rFonts w:hint="eastAsia" w:ascii="宋体" w:hAnsi="宋体" w:cs="宋体"/>
          <w:color w:val="000000" w:themeColor="text1"/>
          <w:kern w:val="21"/>
          <w:szCs w:val="21"/>
          <w:highlight w:val="none"/>
          <w14:textFill>
            <w14:solidFill>
              <w14:schemeClr w14:val="tx1"/>
            </w14:solidFill>
          </w14:textFill>
        </w:rPr>
        <w:t>年</w:t>
      </w:r>
      <w:r>
        <w:rPr>
          <w:rFonts w:hint="eastAsia" w:ascii="宋体" w:hAnsi="宋体" w:cs="宋体"/>
          <w:color w:val="000000" w:themeColor="text1"/>
          <w:kern w:val="21"/>
          <w:szCs w:val="21"/>
          <w:highlight w:val="none"/>
          <w:u w:val="single"/>
          <w14:textFill>
            <w14:solidFill>
              <w14:schemeClr w14:val="tx1"/>
            </w14:solidFill>
          </w14:textFill>
        </w:rPr>
        <w:t></w:t>
      </w:r>
      <w:r>
        <w:rPr>
          <w:rFonts w:hint="eastAsia" w:ascii="宋体" w:hAnsi="宋体" w:cs="宋体"/>
          <w:color w:val="000000" w:themeColor="text1"/>
          <w:kern w:val="21"/>
          <w:szCs w:val="21"/>
          <w:highlight w:val="none"/>
          <w14:textFill>
            <w14:solidFill>
              <w14:schemeClr w14:val="tx1"/>
            </w14:solidFill>
          </w14:textFill>
        </w:rPr>
        <w:t>月</w:t>
      </w:r>
      <w:r>
        <w:rPr>
          <w:rFonts w:hint="eastAsia" w:ascii="宋体" w:hAnsi="宋体" w:cs="宋体"/>
          <w:color w:val="000000" w:themeColor="text1"/>
          <w:kern w:val="21"/>
          <w:szCs w:val="21"/>
          <w:highlight w:val="none"/>
          <w:u w:val="single"/>
          <w14:textFill>
            <w14:solidFill>
              <w14:schemeClr w14:val="tx1"/>
            </w14:solidFill>
          </w14:textFill>
        </w:rPr>
        <w:t></w:t>
      </w:r>
      <w:r>
        <w:rPr>
          <w:rFonts w:hint="eastAsia" w:ascii="宋体" w:hAnsi="宋体" w:cs="宋体"/>
          <w:color w:val="000000" w:themeColor="text1"/>
          <w:kern w:val="21"/>
          <w:szCs w:val="21"/>
          <w:highlight w:val="none"/>
          <w14:textFill>
            <w14:solidFill>
              <w14:schemeClr w14:val="tx1"/>
            </w14:solidFill>
          </w14:textFill>
        </w:rPr>
        <w:t>日。</w:t>
      </w:r>
    </w:p>
    <w:p w14:paraId="0DC20679">
      <w:pPr>
        <w:spacing w:line="480" w:lineRule="exact"/>
        <w:ind w:firstLine="459"/>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计划竣工日期：</w:t>
      </w:r>
      <w:r>
        <w:rPr>
          <w:rFonts w:hint="eastAsia" w:ascii="宋体" w:hAnsi="宋体" w:cs="宋体"/>
          <w:color w:val="000000" w:themeColor="text1"/>
          <w:kern w:val="21"/>
          <w:szCs w:val="21"/>
          <w:highlight w:val="none"/>
          <w:u w:val="single"/>
          <w14:textFill>
            <w14:solidFill>
              <w14:schemeClr w14:val="tx1"/>
            </w14:solidFill>
          </w14:textFill>
        </w:rPr>
        <w:t></w:t>
      </w:r>
      <w:r>
        <w:rPr>
          <w:rFonts w:hint="eastAsia" w:ascii="宋体" w:hAnsi="宋体" w:cs="宋体"/>
          <w:color w:val="000000" w:themeColor="text1"/>
          <w:kern w:val="21"/>
          <w:szCs w:val="21"/>
          <w:highlight w:val="none"/>
          <w14:textFill>
            <w14:solidFill>
              <w14:schemeClr w14:val="tx1"/>
            </w14:solidFill>
          </w14:textFill>
        </w:rPr>
        <w:t>年</w:t>
      </w:r>
      <w:r>
        <w:rPr>
          <w:rFonts w:hint="eastAsia" w:ascii="宋体" w:hAnsi="宋体" w:cs="宋体"/>
          <w:color w:val="000000" w:themeColor="text1"/>
          <w:kern w:val="21"/>
          <w:szCs w:val="21"/>
          <w:highlight w:val="none"/>
          <w:u w:val="single"/>
          <w14:textFill>
            <w14:solidFill>
              <w14:schemeClr w14:val="tx1"/>
            </w14:solidFill>
          </w14:textFill>
        </w:rPr>
        <w:t></w:t>
      </w:r>
      <w:r>
        <w:rPr>
          <w:rFonts w:hint="eastAsia" w:ascii="宋体" w:hAnsi="宋体" w:cs="宋体"/>
          <w:color w:val="000000" w:themeColor="text1"/>
          <w:kern w:val="21"/>
          <w:szCs w:val="21"/>
          <w:highlight w:val="none"/>
          <w14:textFill>
            <w14:solidFill>
              <w14:schemeClr w14:val="tx1"/>
            </w14:solidFill>
          </w14:textFill>
        </w:rPr>
        <w:t>月</w:t>
      </w:r>
      <w:r>
        <w:rPr>
          <w:rFonts w:hint="eastAsia" w:ascii="宋体" w:hAnsi="宋体" w:cs="宋体"/>
          <w:color w:val="000000" w:themeColor="text1"/>
          <w:kern w:val="21"/>
          <w:szCs w:val="21"/>
          <w:highlight w:val="none"/>
          <w:u w:val="single"/>
          <w14:textFill>
            <w14:solidFill>
              <w14:schemeClr w14:val="tx1"/>
            </w14:solidFill>
          </w14:textFill>
        </w:rPr>
        <w:t></w:t>
      </w:r>
      <w:r>
        <w:rPr>
          <w:rFonts w:hint="eastAsia" w:ascii="宋体" w:hAnsi="宋体" w:cs="宋体"/>
          <w:color w:val="000000" w:themeColor="text1"/>
          <w:kern w:val="21"/>
          <w:szCs w:val="21"/>
          <w:highlight w:val="none"/>
          <w14:textFill>
            <w14:solidFill>
              <w14:schemeClr w14:val="tx1"/>
            </w14:solidFill>
          </w14:textFill>
        </w:rPr>
        <w:t>日。</w:t>
      </w:r>
    </w:p>
    <w:p w14:paraId="7BDCFDFC">
      <w:pPr>
        <w:spacing w:line="480" w:lineRule="exact"/>
        <w:ind w:firstLine="459"/>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工期总日历天数：</w:t>
      </w:r>
      <w:r>
        <w:rPr>
          <w:rFonts w:hint="eastAsia" w:ascii="宋体" w:hAnsi="宋体" w:cs="宋体"/>
          <w:color w:val="000000" w:themeColor="text1"/>
          <w:kern w:val="21"/>
          <w:szCs w:val="21"/>
          <w:highlight w:val="none"/>
          <w:u w:val="single"/>
          <w14:textFill>
            <w14:solidFill>
              <w14:schemeClr w14:val="tx1"/>
            </w14:solidFill>
          </w14:textFill>
        </w:rPr>
        <w:t></w:t>
      </w:r>
      <w:r>
        <w:rPr>
          <w:rFonts w:hint="eastAsia" w:ascii="宋体" w:hAnsi="宋体" w:cs="宋体"/>
          <w:color w:val="000000" w:themeColor="text1"/>
          <w:kern w:val="21"/>
          <w:szCs w:val="21"/>
          <w:highlight w:val="none"/>
          <w14:textFill>
            <w14:solidFill>
              <w14:schemeClr w14:val="tx1"/>
            </w14:solidFill>
          </w14:textFill>
        </w:rPr>
        <w:t>天。工期总日历天数与根据前述计划开竣工日期计算的工期天数不一致的，以工期总日历天数为准。</w:t>
      </w:r>
    </w:p>
    <w:p w14:paraId="2E774012">
      <w:pPr>
        <w:pStyle w:val="4"/>
        <w:tabs>
          <w:tab w:val="left" w:pos="864"/>
        </w:tabs>
        <w:spacing w:before="120" w:after="120" w:line="480" w:lineRule="exact"/>
        <w:textAlignment w:val="auto"/>
        <w:rPr>
          <w:rFonts w:ascii="宋体" w:hAnsi="宋体" w:cs="宋体"/>
          <w:color w:val="000000" w:themeColor="text1"/>
          <w:kern w:val="21"/>
          <w:sz w:val="21"/>
          <w:szCs w:val="21"/>
          <w:highlight w:val="none"/>
          <w14:textFill>
            <w14:solidFill>
              <w14:schemeClr w14:val="tx1"/>
            </w14:solidFill>
          </w14:textFill>
        </w:rPr>
      </w:pPr>
      <w:r>
        <w:rPr>
          <w:rFonts w:hint="eastAsia" w:ascii="宋体" w:hAnsi="宋体" w:cs="宋体"/>
          <w:color w:val="000000" w:themeColor="text1"/>
          <w:kern w:val="21"/>
          <w:sz w:val="21"/>
          <w:szCs w:val="21"/>
          <w:highlight w:val="none"/>
          <w14:textFill>
            <w14:solidFill>
              <w14:schemeClr w14:val="tx1"/>
            </w14:solidFill>
          </w14:textFill>
        </w:rPr>
        <w:t xml:space="preserve">    </w:t>
      </w:r>
      <w:bookmarkStart w:id="5" w:name="_Toc351203483"/>
      <w:r>
        <w:rPr>
          <w:rFonts w:hint="eastAsia" w:ascii="宋体" w:hAnsi="宋体" w:cs="宋体"/>
          <w:b w:val="0"/>
          <w:color w:val="000000" w:themeColor="text1"/>
          <w:kern w:val="21"/>
          <w:sz w:val="21"/>
          <w:szCs w:val="21"/>
          <w:highlight w:val="none"/>
          <w14:textFill>
            <w14:solidFill>
              <w14:schemeClr w14:val="tx1"/>
            </w14:solidFill>
          </w14:textFill>
        </w:rPr>
        <w:t>三、质量标准</w:t>
      </w:r>
      <w:bookmarkEnd w:id="5"/>
    </w:p>
    <w:p w14:paraId="0C1083E9">
      <w:pPr>
        <w:spacing w:line="480" w:lineRule="exact"/>
        <w:ind w:firstLine="459"/>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lang w:eastAsia="zh-CN"/>
          <w14:textFill>
            <w14:solidFill>
              <w14:schemeClr w14:val="tx1"/>
            </w14:solidFill>
          </w14:textFill>
        </w:rPr>
        <w:t>达到国家相关规范要求，并取得属地住建消防等部门多方认可的合格评估论证意见函。</w:t>
      </w:r>
    </w:p>
    <w:p w14:paraId="46E74CDB">
      <w:pPr>
        <w:pStyle w:val="4"/>
        <w:tabs>
          <w:tab w:val="left" w:pos="864"/>
        </w:tabs>
        <w:spacing w:before="120" w:after="120" w:line="480" w:lineRule="exact"/>
        <w:textAlignment w:val="auto"/>
        <w:rPr>
          <w:rFonts w:ascii="宋体" w:hAnsi="宋体" w:cs="宋体"/>
          <w:color w:val="000000" w:themeColor="text1"/>
          <w:kern w:val="21"/>
          <w:sz w:val="21"/>
          <w:szCs w:val="21"/>
          <w:highlight w:val="none"/>
          <w14:textFill>
            <w14:solidFill>
              <w14:schemeClr w14:val="tx1"/>
            </w14:solidFill>
          </w14:textFill>
        </w:rPr>
      </w:pPr>
      <w:r>
        <w:rPr>
          <w:rFonts w:hint="eastAsia" w:ascii="宋体" w:hAnsi="宋体" w:cs="宋体"/>
          <w:color w:val="000000" w:themeColor="text1"/>
          <w:kern w:val="21"/>
          <w:sz w:val="21"/>
          <w:szCs w:val="21"/>
          <w:highlight w:val="none"/>
          <w14:textFill>
            <w14:solidFill>
              <w14:schemeClr w14:val="tx1"/>
            </w14:solidFill>
          </w14:textFill>
        </w:rPr>
        <w:t xml:space="preserve">   </w:t>
      </w:r>
      <w:r>
        <w:rPr>
          <w:rFonts w:hint="eastAsia" w:ascii="宋体" w:hAnsi="宋体" w:cs="宋体"/>
          <w:b w:val="0"/>
          <w:color w:val="000000" w:themeColor="text1"/>
          <w:kern w:val="21"/>
          <w:sz w:val="21"/>
          <w:szCs w:val="21"/>
          <w:highlight w:val="none"/>
          <w14:textFill>
            <w14:solidFill>
              <w14:schemeClr w14:val="tx1"/>
            </w14:solidFill>
          </w14:textFill>
        </w:rPr>
        <w:t xml:space="preserve"> </w:t>
      </w:r>
      <w:bookmarkStart w:id="6" w:name="_Toc351203484"/>
      <w:r>
        <w:rPr>
          <w:rFonts w:hint="eastAsia" w:ascii="宋体" w:hAnsi="宋体" w:cs="宋体"/>
          <w:b w:val="0"/>
          <w:color w:val="000000" w:themeColor="text1"/>
          <w:kern w:val="21"/>
          <w:sz w:val="21"/>
          <w:szCs w:val="21"/>
          <w:highlight w:val="none"/>
          <w14:textFill>
            <w14:solidFill>
              <w14:schemeClr w14:val="tx1"/>
            </w14:solidFill>
          </w14:textFill>
        </w:rPr>
        <w:t>四、签约合同价与合同价格形式</w:t>
      </w:r>
      <w:bookmarkEnd w:id="6"/>
      <w:r>
        <w:rPr>
          <w:rFonts w:hint="eastAsia" w:ascii="宋体" w:hAnsi="宋体" w:cs="宋体"/>
          <w:b w:val="0"/>
          <w:color w:val="000000" w:themeColor="text1"/>
          <w:kern w:val="21"/>
          <w:sz w:val="21"/>
          <w:szCs w:val="21"/>
          <w:highlight w:val="none"/>
          <w14:textFill>
            <w14:solidFill>
              <w14:schemeClr w14:val="tx1"/>
            </w14:solidFill>
          </w14:textFill>
        </w:rPr>
        <w:tab/>
      </w:r>
    </w:p>
    <w:p w14:paraId="545518EF">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1.签约合同价为：</w:t>
      </w:r>
    </w:p>
    <w:p w14:paraId="450E4F22">
      <w:pPr>
        <w:spacing w:line="480" w:lineRule="exact"/>
        <w:ind w:firstLine="525" w:firstLineChars="25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人民币（大写）</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元)；</w:t>
      </w:r>
    </w:p>
    <w:p w14:paraId="5E3C97D2">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其中：</w:t>
      </w:r>
    </w:p>
    <w:p w14:paraId="5B2E89D3">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（1）安全文明施工费：</w:t>
      </w:r>
    </w:p>
    <w:p w14:paraId="1F4507AB">
      <w:pPr>
        <w:spacing w:line="480" w:lineRule="exact"/>
        <w:ind w:firstLine="945" w:firstLineChars="45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人民币（大写）</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元)；</w:t>
      </w:r>
    </w:p>
    <w:p w14:paraId="2021E2B0">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（2）材料和工程设备暂估价金额：</w:t>
      </w:r>
    </w:p>
    <w:p w14:paraId="54F4F72D">
      <w:pPr>
        <w:spacing w:line="480" w:lineRule="exact"/>
        <w:ind w:firstLine="945" w:firstLineChars="45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人民币（大写）</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元)；</w:t>
      </w:r>
    </w:p>
    <w:p w14:paraId="4405BB18">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（3）专业工程暂估价金额：</w:t>
      </w:r>
    </w:p>
    <w:p w14:paraId="4004B4EF">
      <w:pPr>
        <w:spacing w:line="480" w:lineRule="exact"/>
        <w:ind w:firstLine="945" w:firstLineChars="45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人民币（大写）</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元)；</w:t>
      </w:r>
    </w:p>
    <w:p w14:paraId="4B0F0F1A">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（4）暂列金额：</w:t>
      </w:r>
    </w:p>
    <w:p w14:paraId="0AC4BE71">
      <w:pPr>
        <w:spacing w:line="480" w:lineRule="exact"/>
        <w:ind w:firstLine="945" w:firstLineChars="45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人民币（大写）</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元)。</w:t>
      </w:r>
    </w:p>
    <w:p w14:paraId="658843B3">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2.合同价格形式：</w:t>
      </w:r>
      <w:r>
        <w:rPr>
          <w:rFonts w:hint="eastAsia" w:ascii="宋体" w:hAnsi="宋体" w:cs="宋体"/>
          <w:color w:val="000000" w:themeColor="text1"/>
          <w:kern w:val="21"/>
          <w:szCs w:val="21"/>
          <w:highlight w:val="none"/>
          <w:u w:val="single"/>
          <w14:textFill>
            <w14:solidFill>
              <w14:schemeClr w14:val="tx1"/>
            </w14:solidFill>
          </w14:textFill>
        </w:rPr>
        <w:t>                      </w:t>
      </w:r>
      <w:r>
        <w:rPr>
          <w:rFonts w:hint="eastAsia" w:ascii="宋体" w:hAnsi="宋体" w:cs="宋体"/>
          <w:color w:val="000000" w:themeColor="text1"/>
          <w:kern w:val="21"/>
          <w:szCs w:val="21"/>
          <w:highlight w:val="none"/>
          <w14:textFill>
            <w14:solidFill>
              <w14:schemeClr w14:val="tx1"/>
            </w14:solidFill>
          </w14:textFill>
        </w:rPr>
        <w:t>。</w:t>
      </w:r>
    </w:p>
    <w:p w14:paraId="4B50835A">
      <w:pPr>
        <w:pStyle w:val="4"/>
        <w:tabs>
          <w:tab w:val="left" w:pos="864"/>
        </w:tabs>
        <w:spacing w:before="120" w:after="120" w:line="480" w:lineRule="exact"/>
        <w:textAlignment w:val="auto"/>
        <w:rPr>
          <w:rFonts w:ascii="宋体" w:hAnsi="宋体" w:cs="宋体"/>
          <w:b w:val="0"/>
          <w:color w:val="000000" w:themeColor="text1"/>
          <w:kern w:val="21"/>
          <w:sz w:val="21"/>
          <w:szCs w:val="21"/>
          <w:highlight w:val="none"/>
          <w14:textFill>
            <w14:solidFill>
              <w14:schemeClr w14:val="tx1"/>
            </w14:solidFill>
          </w14:textFill>
        </w:rPr>
      </w:pPr>
      <w:r>
        <w:rPr>
          <w:rFonts w:hint="eastAsia" w:ascii="宋体" w:hAnsi="宋体" w:cs="宋体"/>
          <w:color w:val="000000" w:themeColor="text1"/>
          <w:kern w:val="21"/>
          <w:sz w:val="21"/>
          <w:szCs w:val="21"/>
          <w:highlight w:val="none"/>
          <w14:textFill>
            <w14:solidFill>
              <w14:schemeClr w14:val="tx1"/>
            </w14:solidFill>
          </w14:textFill>
        </w:rPr>
        <w:t xml:space="preserve">   </w:t>
      </w:r>
      <w:r>
        <w:rPr>
          <w:rFonts w:hint="eastAsia" w:ascii="宋体" w:hAnsi="宋体" w:cs="宋体"/>
          <w:b w:val="0"/>
          <w:color w:val="000000" w:themeColor="text1"/>
          <w:kern w:val="21"/>
          <w:sz w:val="21"/>
          <w:szCs w:val="21"/>
          <w:highlight w:val="none"/>
          <w14:textFill>
            <w14:solidFill>
              <w14:schemeClr w14:val="tx1"/>
            </w14:solidFill>
          </w14:textFill>
        </w:rPr>
        <w:t xml:space="preserve"> </w:t>
      </w:r>
      <w:bookmarkStart w:id="7" w:name="_Toc351203485"/>
      <w:r>
        <w:rPr>
          <w:rFonts w:hint="eastAsia" w:ascii="宋体" w:hAnsi="宋体" w:cs="宋体"/>
          <w:b w:val="0"/>
          <w:color w:val="000000" w:themeColor="text1"/>
          <w:kern w:val="21"/>
          <w:sz w:val="21"/>
          <w:szCs w:val="21"/>
          <w:highlight w:val="none"/>
          <w14:textFill>
            <w14:solidFill>
              <w14:schemeClr w14:val="tx1"/>
            </w14:solidFill>
          </w14:textFill>
        </w:rPr>
        <w:t>五、</w:t>
      </w:r>
      <w:bookmarkEnd w:id="7"/>
      <w:r>
        <w:rPr>
          <w:rFonts w:hint="eastAsia" w:ascii="宋体" w:hAnsi="宋体" w:cs="宋体"/>
          <w:b w:val="0"/>
          <w:color w:val="000000" w:themeColor="text1"/>
          <w:kern w:val="21"/>
          <w:sz w:val="21"/>
          <w:szCs w:val="21"/>
          <w:highlight w:val="none"/>
          <w14:textFill>
            <w14:solidFill>
              <w14:schemeClr w14:val="tx1"/>
            </w14:solidFill>
          </w14:textFill>
        </w:rPr>
        <w:t>项目经理</w:t>
      </w:r>
    </w:p>
    <w:p w14:paraId="3D0C37A6">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承包人项目经理：</w:t>
      </w:r>
      <w:r>
        <w:rPr>
          <w:rFonts w:hint="eastAsia" w:ascii="宋体" w:hAnsi="宋体" w:cs="宋体"/>
          <w:color w:val="000000" w:themeColor="text1"/>
          <w:kern w:val="21"/>
          <w:szCs w:val="21"/>
          <w:highlight w:val="none"/>
          <w:u w:val="single"/>
          <w14:textFill>
            <w14:solidFill>
              <w14:schemeClr w14:val="tx1"/>
            </w14:solidFill>
          </w14:textFill>
        </w:rPr>
        <w:t>                     </w:t>
      </w:r>
      <w:r>
        <w:rPr>
          <w:rFonts w:hint="eastAsia" w:ascii="宋体" w:hAnsi="宋体" w:cs="宋体"/>
          <w:color w:val="000000" w:themeColor="text1"/>
          <w:kern w:val="21"/>
          <w:szCs w:val="21"/>
          <w:highlight w:val="none"/>
          <w14:textFill>
            <w14:solidFill>
              <w14:schemeClr w14:val="tx1"/>
            </w14:solidFill>
          </w14:textFill>
        </w:rPr>
        <w:t>。</w:t>
      </w:r>
    </w:p>
    <w:p w14:paraId="40F683E3">
      <w:pPr>
        <w:pStyle w:val="4"/>
        <w:tabs>
          <w:tab w:val="left" w:pos="864"/>
        </w:tabs>
        <w:spacing w:before="120" w:after="120" w:line="480" w:lineRule="exact"/>
        <w:textAlignment w:val="auto"/>
        <w:rPr>
          <w:rFonts w:ascii="宋体" w:hAnsi="宋体" w:cs="宋体"/>
          <w:color w:val="000000" w:themeColor="text1"/>
          <w:kern w:val="21"/>
          <w:sz w:val="21"/>
          <w:szCs w:val="21"/>
          <w:highlight w:val="none"/>
          <w14:textFill>
            <w14:solidFill>
              <w14:schemeClr w14:val="tx1"/>
            </w14:solidFill>
          </w14:textFill>
        </w:rPr>
      </w:pPr>
      <w:r>
        <w:rPr>
          <w:rFonts w:hint="eastAsia" w:ascii="宋体" w:hAnsi="宋体" w:cs="宋体"/>
          <w:color w:val="000000" w:themeColor="text1"/>
          <w:kern w:val="21"/>
          <w:sz w:val="21"/>
          <w:szCs w:val="21"/>
          <w:highlight w:val="none"/>
          <w14:textFill>
            <w14:solidFill>
              <w14:schemeClr w14:val="tx1"/>
            </w14:solidFill>
          </w14:textFill>
        </w:rPr>
        <w:t xml:space="preserve">   </w:t>
      </w:r>
      <w:r>
        <w:rPr>
          <w:rFonts w:hint="eastAsia" w:ascii="宋体" w:hAnsi="宋体" w:cs="宋体"/>
          <w:b w:val="0"/>
          <w:color w:val="000000" w:themeColor="text1"/>
          <w:kern w:val="21"/>
          <w:sz w:val="21"/>
          <w:szCs w:val="21"/>
          <w:highlight w:val="none"/>
          <w14:textFill>
            <w14:solidFill>
              <w14:schemeClr w14:val="tx1"/>
            </w14:solidFill>
          </w14:textFill>
        </w:rPr>
        <w:t xml:space="preserve"> </w:t>
      </w:r>
      <w:bookmarkStart w:id="8" w:name="_Toc351203486"/>
      <w:r>
        <w:rPr>
          <w:rFonts w:hint="eastAsia" w:ascii="宋体" w:hAnsi="宋体" w:cs="宋体"/>
          <w:b w:val="0"/>
          <w:color w:val="000000" w:themeColor="text1"/>
          <w:kern w:val="21"/>
          <w:sz w:val="21"/>
          <w:szCs w:val="21"/>
          <w:highlight w:val="none"/>
          <w14:textFill>
            <w14:solidFill>
              <w14:schemeClr w14:val="tx1"/>
            </w14:solidFill>
          </w14:textFill>
        </w:rPr>
        <w:t>六、合同文件构成</w:t>
      </w:r>
      <w:bookmarkEnd w:id="8"/>
    </w:p>
    <w:p w14:paraId="3D7BD709">
      <w:pPr>
        <w:spacing w:line="480" w:lineRule="exact"/>
        <w:ind w:firstLine="420" w:firstLineChars="200"/>
        <w:rPr>
          <w:rFonts w:ascii="宋体" w:hAnsi="宋体" w:cs="宋体"/>
          <w:bCs/>
          <w:color w:val="000000" w:themeColor="text1"/>
          <w:kern w:val="21"/>
          <w:szCs w:val="21"/>
          <w:highlight w:val="none"/>
          <w14:textFill>
            <w14:solidFill>
              <w14:schemeClr w14:val="tx1"/>
            </w14:solidFill>
          </w14:textFill>
        </w:rPr>
      </w:pPr>
      <w:r>
        <w:rPr>
          <w:rFonts w:hint="eastAsia" w:ascii="宋体" w:hAnsi="宋体" w:cs="宋体"/>
          <w:bCs/>
          <w:color w:val="000000" w:themeColor="text1"/>
          <w:kern w:val="21"/>
          <w:szCs w:val="21"/>
          <w:highlight w:val="none"/>
          <w14:textFill>
            <w14:solidFill>
              <w14:schemeClr w14:val="tx1"/>
            </w14:solidFill>
          </w14:textFill>
        </w:rPr>
        <w:t>本协议书与下列文件一起构成合同文件：</w:t>
      </w:r>
    </w:p>
    <w:p w14:paraId="359C09CC">
      <w:pPr>
        <w:autoSpaceDE w:val="0"/>
        <w:autoSpaceDN w:val="0"/>
        <w:adjustRightInd w:val="0"/>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（1）成交通知书（如果有）；</w:t>
      </w:r>
    </w:p>
    <w:p w14:paraId="52D0F035">
      <w:pPr>
        <w:autoSpaceDE w:val="0"/>
        <w:autoSpaceDN w:val="0"/>
        <w:adjustRightInd w:val="0"/>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 xml:space="preserve">（2）投标函及其附录（如果有）； </w:t>
      </w:r>
    </w:p>
    <w:p w14:paraId="0C1F162C">
      <w:pPr>
        <w:autoSpaceDE w:val="0"/>
        <w:autoSpaceDN w:val="0"/>
        <w:adjustRightInd w:val="0"/>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（3）专用合同条款及其附件；</w:t>
      </w:r>
    </w:p>
    <w:p w14:paraId="29807EB8">
      <w:pPr>
        <w:autoSpaceDE w:val="0"/>
        <w:autoSpaceDN w:val="0"/>
        <w:adjustRightInd w:val="0"/>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（4）通用合同条款；</w:t>
      </w:r>
    </w:p>
    <w:p w14:paraId="67361184">
      <w:pPr>
        <w:autoSpaceDE w:val="0"/>
        <w:autoSpaceDN w:val="0"/>
        <w:adjustRightInd w:val="0"/>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（5）技术标准和要求；</w:t>
      </w:r>
    </w:p>
    <w:p w14:paraId="09C41543">
      <w:pPr>
        <w:autoSpaceDE w:val="0"/>
        <w:autoSpaceDN w:val="0"/>
        <w:adjustRightInd w:val="0"/>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（6）图纸；</w:t>
      </w:r>
    </w:p>
    <w:p w14:paraId="12A43392">
      <w:pPr>
        <w:autoSpaceDE w:val="0"/>
        <w:autoSpaceDN w:val="0"/>
        <w:adjustRightInd w:val="0"/>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（7）已标价工程量清单或预算书；</w:t>
      </w:r>
    </w:p>
    <w:p w14:paraId="22323A60">
      <w:pPr>
        <w:autoSpaceDE w:val="0"/>
        <w:autoSpaceDN w:val="0"/>
        <w:adjustRightInd w:val="0"/>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（8）其他合同文件。</w:t>
      </w:r>
    </w:p>
    <w:p w14:paraId="14719422">
      <w:pPr>
        <w:autoSpaceDE w:val="0"/>
        <w:autoSpaceDN w:val="0"/>
        <w:adjustRightInd w:val="0"/>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在合同订立及履行过程中形成的与合同有关的文件均构成合同文件组成部分。</w:t>
      </w:r>
    </w:p>
    <w:p w14:paraId="7583A446">
      <w:pPr>
        <w:autoSpaceDE w:val="0"/>
        <w:autoSpaceDN w:val="0"/>
        <w:adjustRightInd w:val="0"/>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上述各项合同文件包括合同当事人就该项合同文件所作出的补充和修改，属于同一类内容的文件，应以最新签署的为准。专用合同条款及其附件须经合同当事人签字或盖章。</w:t>
      </w:r>
    </w:p>
    <w:p w14:paraId="34962267">
      <w:pPr>
        <w:pStyle w:val="4"/>
        <w:tabs>
          <w:tab w:val="left" w:pos="864"/>
        </w:tabs>
        <w:spacing w:before="120" w:after="120" w:line="480" w:lineRule="exact"/>
        <w:textAlignment w:val="auto"/>
        <w:rPr>
          <w:rFonts w:ascii="宋体" w:hAnsi="宋体" w:cs="宋体"/>
          <w:b w:val="0"/>
          <w:color w:val="000000" w:themeColor="text1"/>
          <w:kern w:val="21"/>
          <w:sz w:val="21"/>
          <w:szCs w:val="21"/>
          <w:highlight w:val="none"/>
          <w14:textFill>
            <w14:solidFill>
              <w14:schemeClr w14:val="tx1"/>
            </w14:solidFill>
          </w14:textFill>
        </w:rPr>
      </w:pPr>
      <w:r>
        <w:rPr>
          <w:rFonts w:hint="eastAsia" w:ascii="宋体" w:hAnsi="宋体" w:cs="宋体"/>
          <w:b w:val="0"/>
          <w:color w:val="000000" w:themeColor="text1"/>
          <w:kern w:val="21"/>
          <w:sz w:val="21"/>
          <w:szCs w:val="21"/>
          <w:highlight w:val="none"/>
          <w14:textFill>
            <w14:solidFill>
              <w14:schemeClr w14:val="tx1"/>
            </w14:solidFill>
          </w14:textFill>
        </w:rPr>
        <w:t xml:space="preserve">    </w:t>
      </w:r>
      <w:bookmarkStart w:id="9" w:name="_Toc351203487"/>
      <w:r>
        <w:rPr>
          <w:rFonts w:hint="eastAsia" w:ascii="宋体" w:hAnsi="宋体" w:cs="宋体"/>
          <w:b w:val="0"/>
          <w:color w:val="000000" w:themeColor="text1"/>
          <w:kern w:val="21"/>
          <w:sz w:val="21"/>
          <w:szCs w:val="21"/>
          <w:highlight w:val="none"/>
          <w14:textFill>
            <w14:solidFill>
              <w14:schemeClr w14:val="tx1"/>
            </w14:solidFill>
          </w14:textFill>
        </w:rPr>
        <w:t>七、承诺</w:t>
      </w:r>
      <w:bookmarkEnd w:id="9"/>
    </w:p>
    <w:p w14:paraId="5D00FC28">
      <w:pPr>
        <w:spacing w:line="480" w:lineRule="exact"/>
        <w:ind w:firstLine="420" w:firstLineChars="200"/>
        <w:rPr>
          <w:rFonts w:ascii="宋体" w:hAnsi="宋体" w:cs="宋体"/>
          <w:bCs/>
          <w:color w:val="000000" w:themeColor="text1"/>
          <w:kern w:val="21"/>
          <w:szCs w:val="21"/>
          <w:highlight w:val="none"/>
          <w14:textFill>
            <w14:solidFill>
              <w14:schemeClr w14:val="tx1"/>
            </w14:solidFill>
          </w14:textFill>
        </w:rPr>
      </w:pPr>
      <w:r>
        <w:rPr>
          <w:rFonts w:hint="eastAsia" w:ascii="宋体" w:hAnsi="宋体" w:cs="宋体"/>
          <w:bCs/>
          <w:color w:val="000000" w:themeColor="text1"/>
          <w:kern w:val="21"/>
          <w:szCs w:val="21"/>
          <w:highlight w:val="none"/>
          <w14:textFill>
            <w14:solidFill>
              <w14:schemeClr w14:val="tx1"/>
            </w14:solidFill>
          </w14:textFill>
        </w:rPr>
        <w:t>1.发包人承诺按照法律规定履行项目审批手续、筹集工程建设资金并按照合同约定的期限和方式支付合同价款。</w:t>
      </w:r>
    </w:p>
    <w:p w14:paraId="3EF05EB8">
      <w:pPr>
        <w:spacing w:line="460" w:lineRule="exact"/>
        <w:ind w:firstLine="420" w:firstLineChars="200"/>
        <w:rPr>
          <w:rFonts w:ascii="宋体" w:hAnsi="宋体" w:cs="宋体"/>
          <w:bCs/>
          <w:color w:val="000000" w:themeColor="text1"/>
          <w:kern w:val="21"/>
          <w:szCs w:val="21"/>
          <w:highlight w:val="none"/>
          <w14:textFill>
            <w14:solidFill>
              <w14:schemeClr w14:val="tx1"/>
            </w14:solidFill>
          </w14:textFill>
        </w:rPr>
      </w:pPr>
      <w:r>
        <w:rPr>
          <w:rFonts w:hint="eastAsia" w:ascii="宋体" w:hAnsi="宋体" w:cs="宋体"/>
          <w:bCs/>
          <w:color w:val="000000" w:themeColor="text1"/>
          <w:kern w:val="21"/>
          <w:szCs w:val="21"/>
          <w:highlight w:val="none"/>
          <w14:textFill>
            <w14:solidFill>
              <w14:schemeClr w14:val="tx1"/>
            </w14:solidFill>
          </w14:textFill>
        </w:rPr>
        <w:t>2.承包人承诺按照法律规定及合同约定组织完成工程施工，确保工程质量和安全，不进行转包及违法分包，并在缺陷责任期及保修期内承担相应的工程维修责任。</w:t>
      </w:r>
    </w:p>
    <w:p w14:paraId="602AECB2">
      <w:pPr>
        <w:spacing w:line="460" w:lineRule="exact"/>
        <w:ind w:firstLine="420" w:firstLineChars="200"/>
        <w:rPr>
          <w:rFonts w:ascii="宋体" w:hAnsi="宋体" w:cs="宋体"/>
          <w:bCs/>
          <w:color w:val="000000" w:themeColor="text1"/>
          <w:kern w:val="21"/>
          <w:szCs w:val="21"/>
          <w:highlight w:val="none"/>
          <w14:textFill>
            <w14:solidFill>
              <w14:schemeClr w14:val="tx1"/>
            </w14:solidFill>
          </w14:textFill>
        </w:rPr>
      </w:pPr>
      <w:r>
        <w:rPr>
          <w:rFonts w:hint="eastAsia" w:ascii="宋体" w:hAnsi="宋体" w:cs="宋体"/>
          <w:bCs/>
          <w:color w:val="000000" w:themeColor="text1"/>
          <w:kern w:val="21"/>
          <w:szCs w:val="21"/>
          <w:highlight w:val="none"/>
          <w14:textFill>
            <w14:solidFill>
              <w14:schemeClr w14:val="tx1"/>
            </w14:solidFill>
          </w14:textFill>
        </w:rPr>
        <w:t>3.发包人和承包人通过招投标形式签订合同的，双方理解并承诺不再就同一工程另行签订与合同实质性内容相背离的协议。</w:t>
      </w:r>
    </w:p>
    <w:p w14:paraId="5132BB91">
      <w:pPr>
        <w:spacing w:line="460" w:lineRule="exact"/>
        <w:rPr>
          <w:rFonts w:ascii="宋体" w:hAnsi="宋体" w:cs="宋体"/>
          <w:bCs/>
          <w:color w:val="000000" w:themeColor="text1"/>
          <w:kern w:val="21"/>
          <w:szCs w:val="21"/>
          <w:highlight w:val="none"/>
          <w14:textFill>
            <w14:solidFill>
              <w14:schemeClr w14:val="tx1"/>
            </w14:solidFill>
          </w14:textFill>
        </w:rPr>
      </w:pPr>
      <w:bookmarkStart w:id="10" w:name="_Toc351203488"/>
      <w:r>
        <w:rPr>
          <w:rFonts w:hint="eastAsia" w:ascii="宋体" w:hAnsi="宋体" w:cs="宋体"/>
          <w:b/>
          <w:color w:val="000000" w:themeColor="text1"/>
          <w:kern w:val="21"/>
          <w:szCs w:val="21"/>
          <w:highlight w:val="none"/>
          <w14:textFill>
            <w14:solidFill>
              <w14:schemeClr w14:val="tx1"/>
            </w14:solidFill>
          </w14:textFill>
        </w:rPr>
        <w:t xml:space="preserve">    八、词语含义</w:t>
      </w:r>
      <w:bookmarkEnd w:id="10"/>
    </w:p>
    <w:p w14:paraId="618A5BF2">
      <w:pPr>
        <w:spacing w:line="460" w:lineRule="exact"/>
        <w:ind w:firstLine="420" w:firstLineChars="200"/>
        <w:rPr>
          <w:rFonts w:ascii="宋体" w:hAnsi="宋体" w:cs="宋体"/>
          <w:bCs/>
          <w:color w:val="000000" w:themeColor="text1"/>
          <w:kern w:val="21"/>
          <w:szCs w:val="21"/>
          <w:highlight w:val="none"/>
          <w14:textFill>
            <w14:solidFill>
              <w14:schemeClr w14:val="tx1"/>
            </w14:solidFill>
          </w14:textFill>
        </w:rPr>
      </w:pPr>
      <w:r>
        <w:rPr>
          <w:rFonts w:hint="eastAsia" w:ascii="宋体" w:hAnsi="宋体" w:cs="宋体"/>
          <w:bCs/>
          <w:color w:val="000000" w:themeColor="text1"/>
          <w:kern w:val="21"/>
          <w:szCs w:val="21"/>
          <w:highlight w:val="none"/>
          <w14:textFill>
            <w14:solidFill>
              <w14:schemeClr w14:val="tx1"/>
            </w14:solidFill>
          </w14:textFill>
        </w:rPr>
        <w:t>本协议书中词语含义与第二部分通用合同条款中赋予的含义相同。</w:t>
      </w:r>
    </w:p>
    <w:p w14:paraId="3F784888">
      <w:pPr>
        <w:pStyle w:val="4"/>
        <w:tabs>
          <w:tab w:val="left" w:pos="864"/>
        </w:tabs>
        <w:spacing w:before="120" w:after="120" w:line="460" w:lineRule="exact"/>
        <w:textAlignment w:val="auto"/>
        <w:rPr>
          <w:rFonts w:ascii="宋体" w:hAnsi="宋体" w:cs="宋体"/>
          <w:color w:val="000000" w:themeColor="text1"/>
          <w:kern w:val="21"/>
          <w:sz w:val="21"/>
          <w:szCs w:val="21"/>
          <w:highlight w:val="none"/>
          <w14:textFill>
            <w14:solidFill>
              <w14:schemeClr w14:val="tx1"/>
            </w14:solidFill>
          </w14:textFill>
        </w:rPr>
      </w:pPr>
      <w:r>
        <w:rPr>
          <w:rFonts w:hint="eastAsia" w:ascii="宋体" w:hAnsi="宋体" w:cs="宋体"/>
          <w:color w:val="000000" w:themeColor="text1"/>
          <w:kern w:val="21"/>
          <w:sz w:val="21"/>
          <w:szCs w:val="21"/>
          <w:highlight w:val="none"/>
          <w14:textFill>
            <w14:solidFill>
              <w14:schemeClr w14:val="tx1"/>
            </w14:solidFill>
          </w14:textFill>
        </w:rPr>
        <w:t xml:space="preserve">  </w:t>
      </w:r>
      <w:r>
        <w:rPr>
          <w:rFonts w:hint="eastAsia" w:ascii="宋体" w:hAnsi="宋体" w:cs="宋体"/>
          <w:b w:val="0"/>
          <w:color w:val="000000" w:themeColor="text1"/>
          <w:kern w:val="21"/>
          <w:sz w:val="21"/>
          <w:szCs w:val="21"/>
          <w:highlight w:val="none"/>
          <w14:textFill>
            <w14:solidFill>
              <w14:schemeClr w14:val="tx1"/>
            </w14:solidFill>
          </w14:textFill>
        </w:rPr>
        <w:t xml:space="preserve">  </w:t>
      </w:r>
      <w:bookmarkStart w:id="11" w:name="_Toc351203489"/>
      <w:r>
        <w:rPr>
          <w:rFonts w:hint="eastAsia" w:ascii="宋体" w:hAnsi="宋体" w:cs="宋体"/>
          <w:b w:val="0"/>
          <w:color w:val="000000" w:themeColor="text1"/>
          <w:kern w:val="21"/>
          <w:sz w:val="21"/>
          <w:szCs w:val="21"/>
          <w:highlight w:val="none"/>
          <w14:textFill>
            <w14:solidFill>
              <w14:schemeClr w14:val="tx1"/>
            </w14:solidFill>
          </w14:textFill>
        </w:rPr>
        <w:t>九、签订时间</w:t>
      </w:r>
      <w:bookmarkEnd w:id="11"/>
    </w:p>
    <w:p w14:paraId="7C27ACEE">
      <w:pPr>
        <w:spacing w:line="460" w:lineRule="exact"/>
        <w:ind w:firstLine="420" w:firstLineChars="200"/>
        <w:rPr>
          <w:rFonts w:ascii="宋体" w:hAnsi="宋体" w:cs="宋体"/>
          <w:bCs/>
          <w:color w:val="000000" w:themeColor="text1"/>
          <w:kern w:val="21"/>
          <w:szCs w:val="21"/>
          <w:highlight w:val="none"/>
          <w14:textFill>
            <w14:solidFill>
              <w14:schemeClr w14:val="tx1"/>
            </w14:solidFill>
          </w14:textFill>
        </w:rPr>
      </w:pPr>
      <w:r>
        <w:rPr>
          <w:rFonts w:hint="eastAsia" w:ascii="宋体" w:hAnsi="宋体" w:cs="宋体"/>
          <w:bCs/>
          <w:color w:val="000000" w:themeColor="text1"/>
          <w:kern w:val="21"/>
          <w:szCs w:val="21"/>
          <w:highlight w:val="none"/>
          <w14:textFill>
            <w14:solidFill>
              <w14:schemeClr w14:val="tx1"/>
            </w14:solidFill>
          </w14:textFill>
        </w:rPr>
        <w:t>本合同于</w:t>
      </w:r>
      <w:r>
        <w:rPr>
          <w:rFonts w:hint="eastAsia" w:ascii="宋体" w:hAnsi="宋体" w:cs="宋体"/>
          <w:bCs/>
          <w:color w:val="000000" w:themeColor="text1"/>
          <w:kern w:val="21"/>
          <w:szCs w:val="21"/>
          <w:highlight w:val="none"/>
          <w:u w:val="single"/>
          <w14:textFill>
            <w14:solidFill>
              <w14:schemeClr w14:val="tx1"/>
            </w14:solidFill>
          </w14:textFill>
        </w:rPr>
        <w:t xml:space="preserve">         </w:t>
      </w:r>
      <w:r>
        <w:rPr>
          <w:rFonts w:hint="eastAsia" w:ascii="宋体" w:hAnsi="宋体" w:cs="宋体"/>
          <w:bCs/>
          <w:color w:val="000000" w:themeColor="text1"/>
          <w:kern w:val="21"/>
          <w:szCs w:val="21"/>
          <w:highlight w:val="none"/>
          <w14:textFill>
            <w14:solidFill>
              <w14:schemeClr w14:val="tx1"/>
            </w14:solidFill>
          </w14:textFill>
        </w:rPr>
        <w:t>年</w:t>
      </w:r>
      <w:r>
        <w:rPr>
          <w:rFonts w:hint="eastAsia" w:ascii="宋体" w:hAnsi="宋体" w:cs="宋体"/>
          <w:bCs/>
          <w:color w:val="000000" w:themeColor="text1"/>
          <w:kern w:val="21"/>
          <w:szCs w:val="21"/>
          <w:highlight w:val="none"/>
          <w:u w:val="single"/>
          <w14:textFill>
            <w14:solidFill>
              <w14:schemeClr w14:val="tx1"/>
            </w14:solidFill>
          </w14:textFill>
        </w:rPr>
        <w:t xml:space="preserve">          </w:t>
      </w:r>
      <w:r>
        <w:rPr>
          <w:rFonts w:hint="eastAsia" w:ascii="宋体" w:hAnsi="宋体" w:cs="宋体"/>
          <w:bCs/>
          <w:color w:val="000000" w:themeColor="text1"/>
          <w:kern w:val="21"/>
          <w:szCs w:val="21"/>
          <w:highlight w:val="none"/>
          <w14:textFill>
            <w14:solidFill>
              <w14:schemeClr w14:val="tx1"/>
            </w14:solidFill>
          </w14:textFill>
        </w:rPr>
        <w:t>月</w:t>
      </w:r>
      <w:r>
        <w:rPr>
          <w:rFonts w:hint="eastAsia" w:ascii="宋体" w:hAnsi="宋体" w:cs="宋体"/>
          <w:bCs/>
          <w:color w:val="000000" w:themeColor="text1"/>
          <w:kern w:val="21"/>
          <w:szCs w:val="21"/>
          <w:highlight w:val="none"/>
          <w:u w:val="single"/>
          <w14:textFill>
            <w14:solidFill>
              <w14:schemeClr w14:val="tx1"/>
            </w14:solidFill>
          </w14:textFill>
        </w:rPr>
        <w:t xml:space="preserve">            </w:t>
      </w:r>
      <w:r>
        <w:rPr>
          <w:rFonts w:hint="eastAsia" w:ascii="宋体" w:hAnsi="宋体" w:cs="宋体"/>
          <w:bCs/>
          <w:color w:val="000000" w:themeColor="text1"/>
          <w:kern w:val="21"/>
          <w:szCs w:val="21"/>
          <w:highlight w:val="none"/>
          <w14:textFill>
            <w14:solidFill>
              <w14:schemeClr w14:val="tx1"/>
            </w14:solidFill>
          </w14:textFill>
        </w:rPr>
        <w:t>日签订。</w:t>
      </w:r>
    </w:p>
    <w:p w14:paraId="271514B7">
      <w:pPr>
        <w:pStyle w:val="4"/>
        <w:tabs>
          <w:tab w:val="left" w:pos="864"/>
        </w:tabs>
        <w:spacing w:before="120" w:after="120" w:line="460" w:lineRule="exact"/>
        <w:textAlignment w:val="auto"/>
        <w:rPr>
          <w:rFonts w:ascii="宋体" w:hAnsi="宋体" w:cs="宋体"/>
          <w:color w:val="000000" w:themeColor="text1"/>
          <w:kern w:val="21"/>
          <w:sz w:val="21"/>
          <w:szCs w:val="21"/>
          <w:highlight w:val="none"/>
          <w14:textFill>
            <w14:solidFill>
              <w14:schemeClr w14:val="tx1"/>
            </w14:solidFill>
          </w14:textFill>
        </w:rPr>
      </w:pPr>
      <w:r>
        <w:rPr>
          <w:rFonts w:hint="eastAsia" w:ascii="宋体" w:hAnsi="宋体" w:cs="宋体"/>
          <w:color w:val="000000" w:themeColor="text1"/>
          <w:kern w:val="21"/>
          <w:sz w:val="21"/>
          <w:szCs w:val="21"/>
          <w:highlight w:val="none"/>
          <w14:textFill>
            <w14:solidFill>
              <w14:schemeClr w14:val="tx1"/>
            </w14:solidFill>
          </w14:textFill>
        </w:rPr>
        <w:t xml:space="preserve">    </w:t>
      </w:r>
      <w:bookmarkStart w:id="12" w:name="_Toc351203490"/>
      <w:r>
        <w:rPr>
          <w:rFonts w:hint="eastAsia" w:ascii="宋体" w:hAnsi="宋体" w:cs="宋体"/>
          <w:b w:val="0"/>
          <w:color w:val="000000" w:themeColor="text1"/>
          <w:kern w:val="21"/>
          <w:sz w:val="21"/>
          <w:szCs w:val="21"/>
          <w:highlight w:val="none"/>
          <w14:textFill>
            <w14:solidFill>
              <w14:schemeClr w14:val="tx1"/>
            </w14:solidFill>
          </w14:textFill>
        </w:rPr>
        <w:t>十、签订地点</w:t>
      </w:r>
      <w:bookmarkEnd w:id="12"/>
    </w:p>
    <w:p w14:paraId="2794DECA">
      <w:pPr>
        <w:spacing w:line="460" w:lineRule="exact"/>
        <w:ind w:firstLine="420" w:firstLineChars="200"/>
        <w:rPr>
          <w:rFonts w:ascii="宋体" w:hAnsi="宋体" w:cs="宋体"/>
          <w:bCs/>
          <w:color w:val="000000" w:themeColor="text1"/>
          <w:kern w:val="21"/>
          <w:szCs w:val="21"/>
          <w:highlight w:val="none"/>
          <w14:textFill>
            <w14:solidFill>
              <w14:schemeClr w14:val="tx1"/>
            </w14:solidFill>
          </w14:textFill>
        </w:rPr>
      </w:pPr>
      <w:r>
        <w:rPr>
          <w:rFonts w:hint="eastAsia" w:ascii="宋体" w:hAnsi="宋体" w:cs="宋体"/>
          <w:bCs/>
          <w:color w:val="000000" w:themeColor="text1"/>
          <w:kern w:val="21"/>
          <w:szCs w:val="21"/>
          <w:highlight w:val="none"/>
          <w14:textFill>
            <w14:solidFill>
              <w14:schemeClr w14:val="tx1"/>
            </w14:solidFill>
          </w14:textFill>
        </w:rPr>
        <w:t>本合同在</w:t>
      </w:r>
      <w:r>
        <w:rPr>
          <w:rFonts w:hint="eastAsia" w:ascii="宋体" w:hAnsi="宋体" w:cs="宋体"/>
          <w:bCs/>
          <w:color w:val="000000" w:themeColor="text1"/>
          <w:kern w:val="21"/>
          <w:szCs w:val="21"/>
          <w:highlight w:val="none"/>
          <w:u w:val="single"/>
          <w14:textFill>
            <w14:solidFill>
              <w14:schemeClr w14:val="tx1"/>
            </w14:solidFill>
          </w14:textFill>
        </w:rPr>
        <w:t xml:space="preserve">                                    </w:t>
      </w:r>
      <w:r>
        <w:rPr>
          <w:rFonts w:hint="eastAsia" w:ascii="宋体" w:hAnsi="宋体" w:cs="宋体"/>
          <w:bCs/>
          <w:color w:val="000000" w:themeColor="text1"/>
          <w:kern w:val="21"/>
          <w:szCs w:val="21"/>
          <w:highlight w:val="none"/>
          <w14:textFill>
            <w14:solidFill>
              <w14:schemeClr w14:val="tx1"/>
            </w14:solidFill>
          </w14:textFill>
        </w:rPr>
        <w:t>签订。</w:t>
      </w:r>
    </w:p>
    <w:p w14:paraId="1389CBDF">
      <w:pPr>
        <w:pStyle w:val="4"/>
        <w:tabs>
          <w:tab w:val="left" w:pos="864"/>
        </w:tabs>
        <w:spacing w:before="120" w:after="120" w:line="460" w:lineRule="exact"/>
        <w:textAlignment w:val="auto"/>
        <w:rPr>
          <w:rFonts w:ascii="宋体" w:hAnsi="宋体" w:cs="宋体"/>
          <w:color w:val="000000" w:themeColor="text1"/>
          <w:kern w:val="21"/>
          <w:sz w:val="21"/>
          <w:szCs w:val="21"/>
          <w:highlight w:val="none"/>
          <w14:textFill>
            <w14:solidFill>
              <w14:schemeClr w14:val="tx1"/>
            </w14:solidFill>
          </w14:textFill>
        </w:rPr>
      </w:pPr>
      <w:r>
        <w:rPr>
          <w:rFonts w:hint="eastAsia" w:ascii="宋体" w:hAnsi="宋体" w:cs="宋体"/>
          <w:color w:val="000000" w:themeColor="text1"/>
          <w:kern w:val="21"/>
          <w:sz w:val="21"/>
          <w:szCs w:val="21"/>
          <w:highlight w:val="none"/>
          <w14:textFill>
            <w14:solidFill>
              <w14:schemeClr w14:val="tx1"/>
            </w14:solidFill>
          </w14:textFill>
        </w:rPr>
        <w:t xml:space="preserve">    </w:t>
      </w:r>
      <w:bookmarkStart w:id="13" w:name="_Toc351203491"/>
      <w:r>
        <w:rPr>
          <w:rFonts w:hint="eastAsia" w:ascii="宋体" w:hAnsi="宋体" w:cs="宋体"/>
          <w:b w:val="0"/>
          <w:color w:val="000000" w:themeColor="text1"/>
          <w:kern w:val="21"/>
          <w:sz w:val="21"/>
          <w:szCs w:val="21"/>
          <w:highlight w:val="none"/>
          <w14:textFill>
            <w14:solidFill>
              <w14:schemeClr w14:val="tx1"/>
            </w14:solidFill>
          </w14:textFill>
        </w:rPr>
        <w:t>十一、补充协议</w:t>
      </w:r>
      <w:bookmarkEnd w:id="13"/>
    </w:p>
    <w:p w14:paraId="397563A8">
      <w:pPr>
        <w:spacing w:line="460" w:lineRule="exact"/>
        <w:ind w:firstLine="420" w:firstLineChars="200"/>
        <w:rPr>
          <w:rFonts w:ascii="宋体" w:hAnsi="宋体" w:cs="宋体"/>
          <w:b/>
          <w:bCs/>
          <w:color w:val="000000" w:themeColor="text1"/>
          <w:kern w:val="21"/>
          <w:szCs w:val="21"/>
          <w:highlight w:val="none"/>
          <w14:textFill>
            <w14:solidFill>
              <w14:schemeClr w14:val="tx1"/>
            </w14:solidFill>
          </w14:textFill>
        </w:rPr>
      </w:pPr>
      <w:r>
        <w:rPr>
          <w:rFonts w:hint="eastAsia" w:ascii="宋体" w:hAnsi="宋体" w:cs="宋体"/>
          <w:bCs/>
          <w:color w:val="000000" w:themeColor="text1"/>
          <w:kern w:val="21"/>
          <w:szCs w:val="21"/>
          <w:highlight w:val="none"/>
          <w14:textFill>
            <w14:solidFill>
              <w14:schemeClr w14:val="tx1"/>
            </w14:solidFill>
          </w14:textFill>
        </w:rPr>
        <w:t>合同未尽事宜，合同当事人另行签订补充协议，补充协议是合同的组成部分。</w:t>
      </w:r>
    </w:p>
    <w:p w14:paraId="20C1DCAF">
      <w:pPr>
        <w:pStyle w:val="4"/>
        <w:tabs>
          <w:tab w:val="left" w:pos="864"/>
        </w:tabs>
        <w:spacing w:before="120" w:after="120" w:line="460" w:lineRule="exact"/>
        <w:textAlignment w:val="auto"/>
        <w:rPr>
          <w:rFonts w:ascii="宋体" w:hAnsi="宋体" w:cs="宋体"/>
          <w:color w:val="000000" w:themeColor="text1"/>
          <w:kern w:val="21"/>
          <w:sz w:val="21"/>
          <w:szCs w:val="21"/>
          <w:highlight w:val="none"/>
          <w14:textFill>
            <w14:solidFill>
              <w14:schemeClr w14:val="tx1"/>
            </w14:solidFill>
          </w14:textFill>
        </w:rPr>
      </w:pPr>
      <w:r>
        <w:rPr>
          <w:rFonts w:hint="eastAsia" w:ascii="宋体" w:hAnsi="宋体" w:cs="宋体"/>
          <w:color w:val="000000" w:themeColor="text1"/>
          <w:kern w:val="21"/>
          <w:sz w:val="21"/>
          <w:szCs w:val="21"/>
          <w:highlight w:val="none"/>
          <w14:textFill>
            <w14:solidFill>
              <w14:schemeClr w14:val="tx1"/>
            </w14:solidFill>
          </w14:textFill>
        </w:rPr>
        <w:t xml:space="preserve">    </w:t>
      </w:r>
      <w:bookmarkStart w:id="14" w:name="_Toc351203492"/>
      <w:r>
        <w:rPr>
          <w:rFonts w:hint="eastAsia" w:ascii="宋体" w:hAnsi="宋体" w:cs="宋体"/>
          <w:b w:val="0"/>
          <w:color w:val="000000" w:themeColor="text1"/>
          <w:kern w:val="21"/>
          <w:sz w:val="21"/>
          <w:szCs w:val="21"/>
          <w:highlight w:val="none"/>
          <w14:textFill>
            <w14:solidFill>
              <w14:schemeClr w14:val="tx1"/>
            </w14:solidFill>
          </w14:textFill>
        </w:rPr>
        <w:t>十二、合同生效</w:t>
      </w:r>
      <w:bookmarkEnd w:id="14"/>
    </w:p>
    <w:p w14:paraId="6D97C335">
      <w:pPr>
        <w:spacing w:line="460" w:lineRule="exact"/>
        <w:ind w:firstLine="420" w:firstLineChars="200"/>
        <w:rPr>
          <w:rFonts w:ascii="宋体" w:hAnsi="宋体" w:cs="宋体"/>
          <w:bCs/>
          <w:color w:val="000000" w:themeColor="text1"/>
          <w:kern w:val="21"/>
          <w:szCs w:val="21"/>
          <w:highlight w:val="none"/>
          <w14:textFill>
            <w14:solidFill>
              <w14:schemeClr w14:val="tx1"/>
            </w14:solidFill>
          </w14:textFill>
        </w:rPr>
      </w:pPr>
      <w:r>
        <w:rPr>
          <w:rFonts w:hint="eastAsia" w:ascii="宋体" w:hAnsi="宋体" w:cs="宋体"/>
          <w:bCs/>
          <w:color w:val="000000" w:themeColor="text1"/>
          <w:kern w:val="21"/>
          <w:szCs w:val="21"/>
          <w:highlight w:val="none"/>
          <w14:textFill>
            <w14:solidFill>
              <w14:schemeClr w14:val="tx1"/>
            </w14:solidFill>
          </w14:textFill>
        </w:rPr>
        <w:t>本合同自</w:t>
      </w:r>
      <w:r>
        <w:rPr>
          <w:rFonts w:hint="eastAsia" w:ascii="宋体" w:hAnsi="宋体" w:cs="宋体"/>
          <w:bCs/>
          <w:color w:val="000000" w:themeColor="text1"/>
          <w:kern w:val="21"/>
          <w:szCs w:val="21"/>
          <w:highlight w:val="none"/>
          <w:u w:val="single"/>
          <w14:textFill>
            <w14:solidFill>
              <w14:schemeClr w14:val="tx1"/>
            </w14:solidFill>
          </w14:textFill>
        </w:rPr>
        <w:t xml:space="preserve">                                   </w:t>
      </w:r>
      <w:r>
        <w:rPr>
          <w:rFonts w:hint="eastAsia" w:ascii="宋体" w:hAnsi="宋体" w:cs="宋体"/>
          <w:bCs/>
          <w:color w:val="000000" w:themeColor="text1"/>
          <w:kern w:val="21"/>
          <w:szCs w:val="21"/>
          <w:highlight w:val="none"/>
          <w14:textFill>
            <w14:solidFill>
              <w14:schemeClr w14:val="tx1"/>
            </w14:solidFill>
          </w14:textFill>
        </w:rPr>
        <w:t>生效。</w:t>
      </w:r>
    </w:p>
    <w:p w14:paraId="1EDD12AF">
      <w:pPr>
        <w:pStyle w:val="4"/>
        <w:tabs>
          <w:tab w:val="left" w:pos="864"/>
        </w:tabs>
        <w:spacing w:before="120" w:after="120" w:line="460" w:lineRule="exact"/>
        <w:textAlignment w:val="auto"/>
        <w:rPr>
          <w:rFonts w:ascii="宋体" w:hAnsi="宋体" w:cs="宋体"/>
          <w:color w:val="000000" w:themeColor="text1"/>
          <w:kern w:val="21"/>
          <w:sz w:val="21"/>
          <w:szCs w:val="21"/>
          <w:highlight w:val="none"/>
          <w14:textFill>
            <w14:solidFill>
              <w14:schemeClr w14:val="tx1"/>
            </w14:solidFill>
          </w14:textFill>
        </w:rPr>
      </w:pPr>
      <w:r>
        <w:rPr>
          <w:rFonts w:hint="eastAsia" w:ascii="宋体" w:hAnsi="宋体" w:cs="宋体"/>
          <w:color w:val="000000" w:themeColor="text1"/>
          <w:kern w:val="21"/>
          <w:sz w:val="21"/>
          <w:szCs w:val="21"/>
          <w:highlight w:val="none"/>
          <w14:textFill>
            <w14:solidFill>
              <w14:schemeClr w14:val="tx1"/>
            </w14:solidFill>
          </w14:textFill>
        </w:rPr>
        <w:t xml:space="preserve">    </w:t>
      </w:r>
      <w:bookmarkStart w:id="15" w:name="_Toc351203493"/>
      <w:r>
        <w:rPr>
          <w:rFonts w:hint="eastAsia" w:ascii="宋体" w:hAnsi="宋体" w:cs="宋体"/>
          <w:b w:val="0"/>
          <w:color w:val="000000" w:themeColor="text1"/>
          <w:kern w:val="21"/>
          <w:sz w:val="21"/>
          <w:szCs w:val="21"/>
          <w:highlight w:val="none"/>
          <w14:textFill>
            <w14:solidFill>
              <w14:schemeClr w14:val="tx1"/>
            </w14:solidFill>
          </w14:textFill>
        </w:rPr>
        <w:t>十三、合同份数</w:t>
      </w:r>
      <w:bookmarkEnd w:id="15"/>
    </w:p>
    <w:p w14:paraId="65BD094C">
      <w:pPr>
        <w:spacing w:line="460" w:lineRule="exact"/>
        <w:ind w:firstLine="420" w:firstLineChars="200"/>
        <w:rPr>
          <w:rFonts w:ascii="宋体" w:hAnsi="宋体" w:cs="宋体"/>
          <w:bCs/>
          <w:color w:val="000000" w:themeColor="text1"/>
          <w:kern w:val="21"/>
          <w:szCs w:val="21"/>
          <w:highlight w:val="none"/>
          <w14:textFill>
            <w14:solidFill>
              <w14:schemeClr w14:val="tx1"/>
            </w14:solidFill>
          </w14:textFill>
        </w:rPr>
      </w:pPr>
      <w:r>
        <w:rPr>
          <w:rFonts w:hint="eastAsia" w:ascii="宋体" w:hAnsi="宋体" w:cs="宋体"/>
          <w:bCs/>
          <w:color w:val="000000" w:themeColor="text1"/>
          <w:kern w:val="21"/>
          <w:szCs w:val="21"/>
          <w:highlight w:val="none"/>
          <w14:textFill>
            <w14:solidFill>
              <w14:schemeClr w14:val="tx1"/>
            </w14:solidFill>
          </w14:textFill>
        </w:rPr>
        <w:t>本合同一式</w:t>
      </w:r>
      <w:r>
        <w:rPr>
          <w:rFonts w:hint="eastAsia" w:ascii="宋体" w:hAnsi="宋体" w:cs="宋体"/>
          <w:bCs/>
          <w:color w:val="000000" w:themeColor="text1"/>
          <w:kern w:val="21"/>
          <w:szCs w:val="21"/>
          <w:highlight w:val="none"/>
          <w:u w:val="single"/>
          <w14:textFill>
            <w14:solidFill>
              <w14:schemeClr w14:val="tx1"/>
            </w14:solidFill>
          </w14:textFill>
        </w:rPr>
        <w:t xml:space="preserve">    </w:t>
      </w:r>
      <w:r>
        <w:rPr>
          <w:rFonts w:hint="eastAsia" w:ascii="宋体" w:hAnsi="宋体" w:cs="宋体"/>
          <w:bCs/>
          <w:color w:val="000000" w:themeColor="text1"/>
          <w:kern w:val="21"/>
          <w:szCs w:val="21"/>
          <w:highlight w:val="none"/>
          <w14:textFill>
            <w14:solidFill>
              <w14:schemeClr w14:val="tx1"/>
            </w14:solidFill>
          </w14:textFill>
        </w:rPr>
        <w:t>份，均具有同等法律效力，发包人执</w:t>
      </w:r>
      <w:r>
        <w:rPr>
          <w:rFonts w:hint="eastAsia" w:ascii="宋体" w:hAnsi="宋体" w:cs="宋体"/>
          <w:bCs/>
          <w:color w:val="000000" w:themeColor="text1"/>
          <w:kern w:val="21"/>
          <w:szCs w:val="21"/>
          <w:highlight w:val="none"/>
          <w:u w:val="single"/>
          <w14:textFill>
            <w14:solidFill>
              <w14:schemeClr w14:val="tx1"/>
            </w14:solidFill>
          </w14:textFill>
        </w:rPr>
        <w:t xml:space="preserve">    </w:t>
      </w:r>
      <w:r>
        <w:rPr>
          <w:rFonts w:hint="eastAsia" w:ascii="宋体" w:hAnsi="宋体" w:cs="宋体"/>
          <w:bCs/>
          <w:color w:val="000000" w:themeColor="text1"/>
          <w:kern w:val="21"/>
          <w:szCs w:val="21"/>
          <w:highlight w:val="none"/>
          <w14:textFill>
            <w14:solidFill>
              <w14:schemeClr w14:val="tx1"/>
            </w14:solidFill>
          </w14:textFill>
        </w:rPr>
        <w:t>份，承包人执</w:t>
      </w:r>
      <w:r>
        <w:rPr>
          <w:rFonts w:hint="eastAsia" w:ascii="宋体" w:hAnsi="宋体" w:cs="宋体"/>
          <w:bCs/>
          <w:color w:val="000000" w:themeColor="text1"/>
          <w:kern w:val="21"/>
          <w:szCs w:val="21"/>
          <w:highlight w:val="none"/>
          <w:u w:val="single"/>
          <w14:textFill>
            <w14:solidFill>
              <w14:schemeClr w14:val="tx1"/>
            </w14:solidFill>
          </w14:textFill>
        </w:rPr>
        <w:t xml:space="preserve">    </w:t>
      </w:r>
      <w:r>
        <w:rPr>
          <w:rFonts w:hint="eastAsia" w:ascii="宋体" w:hAnsi="宋体" w:cs="宋体"/>
          <w:bCs/>
          <w:color w:val="000000" w:themeColor="text1"/>
          <w:kern w:val="21"/>
          <w:szCs w:val="21"/>
          <w:highlight w:val="none"/>
          <w14:textFill>
            <w14:solidFill>
              <w14:schemeClr w14:val="tx1"/>
            </w14:solidFill>
          </w14:textFill>
        </w:rPr>
        <w:t>份。</w:t>
      </w:r>
    </w:p>
    <w:p w14:paraId="0996F410">
      <w:pPr>
        <w:spacing w:line="4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发包人：  (公章)                        承包人：  (公章)</w:t>
      </w:r>
    </w:p>
    <w:p w14:paraId="78C2FDC4">
      <w:pPr>
        <w:spacing w:line="4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法定代表人或其委托代理人（签字）：      法定代表人或其委托代理人（签字）：</w:t>
      </w:r>
    </w:p>
    <w:p w14:paraId="1019D72F">
      <w:pPr>
        <w:tabs>
          <w:tab w:val="left" w:pos="4410"/>
        </w:tabs>
        <w:spacing w:line="4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组织机构代码：</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 xml:space="preserve">          组织机构代码：</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 xml:space="preserve"> </w:t>
      </w:r>
    </w:p>
    <w:p w14:paraId="007558E4">
      <w:pPr>
        <w:spacing w:line="4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地  址：</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 xml:space="preserve">          地  址：</w:t>
      </w:r>
      <w:r>
        <w:rPr>
          <w:rFonts w:hint="eastAsia" w:ascii="宋体" w:hAnsi="宋体" w:cs="宋体"/>
          <w:color w:val="000000" w:themeColor="text1"/>
          <w:kern w:val="21"/>
          <w:szCs w:val="21"/>
          <w:highlight w:val="none"/>
          <w:u w:val="single"/>
          <w14:textFill>
            <w14:solidFill>
              <w14:schemeClr w14:val="tx1"/>
            </w14:solidFill>
          </w14:textFill>
        </w:rPr>
        <w:t xml:space="preserve">         </w:t>
      </w:r>
    </w:p>
    <w:p w14:paraId="0C5B367A">
      <w:pPr>
        <w:spacing w:line="4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邮政编码：</w:t>
      </w:r>
      <w:r>
        <w:rPr>
          <w:rFonts w:hint="eastAsia" w:ascii="宋体" w:hAnsi="宋体" w:cs="宋体"/>
          <w:color w:val="000000" w:themeColor="text1"/>
          <w:kern w:val="21"/>
          <w:szCs w:val="21"/>
          <w:highlight w:val="none"/>
          <w:u w:val="single"/>
          <w14:textFill>
            <w14:solidFill>
              <w14:schemeClr w14:val="tx1"/>
            </w14:solidFill>
          </w14:textFill>
        </w:rPr>
        <w:t xml:space="preserve">        </w:t>
      </w:r>
      <w:r>
        <w:rPr>
          <w:rFonts w:hint="eastAsia" w:ascii="宋体" w:hAnsi="宋体" w:cs="宋体"/>
          <w:color w:val="000000" w:themeColor="text1"/>
          <w:kern w:val="21"/>
          <w:szCs w:val="21"/>
          <w:highlight w:val="none"/>
          <w14:textFill>
            <w14:solidFill>
              <w14:schemeClr w14:val="tx1"/>
            </w14:solidFill>
          </w14:textFill>
        </w:rPr>
        <w:t xml:space="preserve">          邮政编码：</w:t>
      </w:r>
      <w:r>
        <w:rPr>
          <w:rFonts w:hint="eastAsia" w:ascii="宋体" w:hAnsi="宋体" w:cs="宋体"/>
          <w:color w:val="000000" w:themeColor="text1"/>
          <w:kern w:val="21"/>
          <w:szCs w:val="21"/>
          <w:highlight w:val="none"/>
          <w:u w:val="single"/>
          <w14:textFill>
            <w14:solidFill>
              <w14:schemeClr w14:val="tx1"/>
            </w14:solidFill>
          </w14:textFill>
        </w:rPr>
        <w:t xml:space="preserve">     </w:t>
      </w:r>
    </w:p>
    <w:p w14:paraId="7D9B5C48">
      <w:pPr>
        <w:spacing w:line="4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法定代表人：</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 xml:space="preserve">          法定代表人：</w:t>
      </w:r>
      <w:r>
        <w:rPr>
          <w:rFonts w:hint="eastAsia" w:ascii="宋体" w:hAnsi="宋体" w:cs="宋体"/>
          <w:color w:val="000000" w:themeColor="text1"/>
          <w:kern w:val="21"/>
          <w:szCs w:val="21"/>
          <w:highlight w:val="none"/>
          <w:u w:val="single"/>
          <w14:textFill>
            <w14:solidFill>
              <w14:schemeClr w14:val="tx1"/>
            </w14:solidFill>
          </w14:textFill>
        </w:rPr>
        <w:t xml:space="preserve">                </w:t>
      </w:r>
    </w:p>
    <w:p w14:paraId="59D3B746">
      <w:pPr>
        <w:spacing w:line="4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委托代理人：</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 xml:space="preserve">          委托代理人：</w:t>
      </w:r>
      <w:r>
        <w:rPr>
          <w:rFonts w:hint="eastAsia" w:ascii="宋体" w:hAnsi="宋体" w:cs="宋体"/>
          <w:color w:val="000000" w:themeColor="text1"/>
          <w:kern w:val="21"/>
          <w:szCs w:val="21"/>
          <w:highlight w:val="none"/>
          <w:u w:val="single"/>
          <w14:textFill>
            <w14:solidFill>
              <w14:schemeClr w14:val="tx1"/>
            </w14:solidFill>
          </w14:textFill>
        </w:rPr>
        <w:t xml:space="preserve">                </w:t>
      </w:r>
    </w:p>
    <w:p w14:paraId="34A62D10">
      <w:pPr>
        <w:spacing w:line="4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电  话：</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 xml:space="preserve">          电  话：</w:t>
      </w:r>
      <w:r>
        <w:rPr>
          <w:rFonts w:hint="eastAsia" w:ascii="宋体" w:hAnsi="宋体" w:cs="宋体"/>
          <w:color w:val="000000" w:themeColor="text1"/>
          <w:kern w:val="21"/>
          <w:szCs w:val="21"/>
          <w:highlight w:val="none"/>
          <w:u w:val="single"/>
          <w14:textFill>
            <w14:solidFill>
              <w14:schemeClr w14:val="tx1"/>
            </w14:solidFill>
          </w14:textFill>
        </w:rPr>
        <w:t xml:space="preserve">        </w:t>
      </w:r>
    </w:p>
    <w:p w14:paraId="4000673C">
      <w:pPr>
        <w:spacing w:line="4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传  真：</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 xml:space="preserve">          传  真：</w:t>
      </w:r>
      <w:r>
        <w:rPr>
          <w:rFonts w:hint="eastAsia" w:ascii="宋体" w:hAnsi="宋体" w:cs="宋体"/>
          <w:color w:val="000000" w:themeColor="text1"/>
          <w:kern w:val="21"/>
          <w:szCs w:val="21"/>
          <w:highlight w:val="none"/>
          <w:u w:val="single"/>
          <w14:textFill>
            <w14:solidFill>
              <w14:schemeClr w14:val="tx1"/>
            </w14:solidFill>
          </w14:textFill>
        </w:rPr>
        <w:t xml:space="preserve">         </w:t>
      </w:r>
    </w:p>
    <w:p w14:paraId="55765C9A">
      <w:pPr>
        <w:spacing w:line="4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电子信箱：</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 xml:space="preserve">          电子信箱：</w:t>
      </w:r>
      <w:r>
        <w:rPr>
          <w:rFonts w:hint="eastAsia" w:ascii="宋体" w:hAnsi="宋体" w:cs="宋体"/>
          <w:color w:val="000000" w:themeColor="text1"/>
          <w:kern w:val="21"/>
          <w:szCs w:val="21"/>
          <w:highlight w:val="none"/>
          <w:u w:val="single"/>
          <w14:textFill>
            <w14:solidFill>
              <w14:schemeClr w14:val="tx1"/>
            </w14:solidFill>
          </w14:textFill>
        </w:rPr>
        <w:t xml:space="preserve">       </w:t>
      </w:r>
    </w:p>
    <w:p w14:paraId="03896E84">
      <w:pPr>
        <w:spacing w:line="4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开户银行：</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 xml:space="preserve">          开户银行：</w:t>
      </w:r>
      <w:r>
        <w:rPr>
          <w:rFonts w:hint="eastAsia" w:ascii="宋体" w:hAnsi="宋体" w:cs="宋体"/>
          <w:color w:val="000000" w:themeColor="text1"/>
          <w:kern w:val="21"/>
          <w:szCs w:val="21"/>
          <w:highlight w:val="none"/>
          <w:u w:val="single"/>
          <w14:textFill>
            <w14:solidFill>
              <w14:schemeClr w14:val="tx1"/>
            </w14:solidFill>
          </w14:textFill>
        </w:rPr>
        <w:t xml:space="preserve">       </w:t>
      </w:r>
    </w:p>
    <w:p w14:paraId="37BDAE9F">
      <w:pPr>
        <w:spacing w:line="4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账  号：</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 xml:space="preserve">          账  号：</w:t>
      </w:r>
      <w:r>
        <w:rPr>
          <w:rFonts w:hint="eastAsia" w:ascii="宋体" w:hAnsi="宋体" w:cs="宋体"/>
          <w:color w:val="000000" w:themeColor="text1"/>
          <w:kern w:val="21"/>
          <w:szCs w:val="21"/>
          <w:highlight w:val="none"/>
          <w:u w:val="single"/>
          <w14:textFill>
            <w14:solidFill>
              <w14:schemeClr w14:val="tx1"/>
            </w14:solidFill>
          </w14:textFill>
        </w:rPr>
        <w:t xml:space="preserve">         </w:t>
      </w:r>
    </w:p>
    <w:p w14:paraId="0E04DE4E">
      <w:pPr>
        <w:pStyle w:val="3"/>
        <w:spacing w:line="440" w:lineRule="exact"/>
        <w:jc w:val="center"/>
        <w:rPr>
          <w:rFonts w:ascii="宋体" w:hAnsi="宋体" w:cs="宋体"/>
          <w:color w:val="000000" w:themeColor="text1"/>
          <w:kern w:val="21"/>
          <w:sz w:val="22"/>
          <w:szCs w:val="22"/>
          <w:highlight w:val="none"/>
          <w14:textFill>
            <w14:solidFill>
              <w14:schemeClr w14:val="tx1"/>
            </w14:solidFill>
          </w14:textFill>
        </w:rPr>
      </w:pPr>
      <w:r>
        <w:rPr>
          <w:rFonts w:hint="eastAsia" w:ascii="宋体" w:hAnsi="宋体" w:cs="宋体"/>
          <w:color w:val="000000" w:themeColor="text1"/>
          <w:kern w:val="21"/>
          <w:sz w:val="22"/>
          <w:szCs w:val="22"/>
          <w:highlight w:val="none"/>
          <w14:textFill>
            <w14:solidFill>
              <w14:schemeClr w14:val="tx1"/>
            </w14:solidFill>
          </w14:textFill>
        </w:rPr>
        <w:br w:type="page"/>
      </w:r>
      <w:bookmarkStart w:id="16" w:name="_Toc351203494"/>
      <w:r>
        <w:rPr>
          <w:rFonts w:hint="eastAsia" w:ascii="宋体" w:hAnsi="宋体" w:cs="宋体"/>
          <w:color w:val="000000" w:themeColor="text1"/>
          <w:kern w:val="21"/>
          <w:sz w:val="22"/>
          <w:szCs w:val="22"/>
          <w:highlight w:val="none"/>
          <w14:textFill>
            <w14:solidFill>
              <w14:schemeClr w14:val="tx1"/>
            </w14:solidFill>
          </w14:textFill>
        </w:rPr>
        <w:t>第二部分 通用合同条款</w:t>
      </w:r>
      <w:bookmarkEnd w:id="16"/>
      <w:bookmarkStart w:id="17" w:name="_Toc337558727"/>
    </w:p>
    <w:bookmarkEnd w:id="17"/>
    <w:p w14:paraId="6DC8A5C5">
      <w:pPr>
        <w:pStyle w:val="3"/>
        <w:spacing w:line="500" w:lineRule="exact"/>
        <w:ind w:firstLine="420" w:firstLineChars="200"/>
        <w:jc w:val="center"/>
        <w:rPr>
          <w:rFonts w:ascii="宋体" w:hAnsi="宋体" w:cs="宋体"/>
          <w:color w:val="000000" w:themeColor="text1"/>
          <w:kern w:val="21"/>
          <w:sz w:val="22"/>
          <w:szCs w:val="22"/>
          <w:highlight w:val="none"/>
          <w14:textFill>
            <w14:solidFill>
              <w14:schemeClr w14:val="tx1"/>
            </w14:solidFill>
          </w14:textFill>
        </w:rPr>
      </w:pPr>
      <w:bookmarkStart w:id="18" w:name="_Toc351203632"/>
      <w:r>
        <w:rPr>
          <w:rFonts w:hint="eastAsia" w:ascii="宋体" w:hAnsi="宋体" w:cs="宋体"/>
          <w:color w:val="000000" w:themeColor="text1"/>
          <w:kern w:val="21"/>
          <w:szCs w:val="21"/>
          <w:highlight w:val="none"/>
          <w14:textFill>
            <w14:solidFill>
              <w14:schemeClr w14:val="tx1"/>
            </w14:solidFill>
          </w14:textFill>
        </w:rPr>
        <w:t>通用合同条款采用住房城乡建设部、国家工商行政管理总局制定的《建设工程施工合同(示范文本)》（GF—2017—0201），详见该示范文本。</w:t>
      </w:r>
      <w:r>
        <w:rPr>
          <w:rFonts w:hint="eastAsia" w:ascii="宋体" w:hAnsi="宋体" w:cs="宋体"/>
          <w:color w:val="000000" w:themeColor="text1"/>
          <w:kern w:val="21"/>
          <w:szCs w:val="21"/>
          <w:highlight w:val="none"/>
          <w14:textFill>
            <w14:solidFill>
              <w14:schemeClr w14:val="tx1"/>
            </w14:solidFill>
          </w14:textFill>
        </w:rPr>
        <w:br w:type="page"/>
      </w:r>
      <w:r>
        <w:rPr>
          <w:rFonts w:hint="eastAsia" w:ascii="宋体" w:hAnsi="宋体" w:cs="宋体"/>
          <w:color w:val="000000" w:themeColor="text1"/>
          <w:sz w:val="22"/>
          <w:szCs w:val="22"/>
          <w:highlight w:val="none"/>
          <w14:textFill>
            <w14:solidFill>
              <w14:schemeClr w14:val="tx1"/>
            </w14:solidFill>
          </w14:textFill>
        </w:rPr>
        <w:t>第三部分 专用合同条款</w:t>
      </w:r>
      <w:bookmarkEnd w:id="18"/>
    </w:p>
    <w:p w14:paraId="41BA7866">
      <w:pPr>
        <w:pStyle w:val="4"/>
        <w:tabs>
          <w:tab w:val="left" w:pos="864"/>
        </w:tabs>
        <w:spacing w:before="120" w:after="120" w:line="480" w:lineRule="exact"/>
        <w:textAlignment w:val="auto"/>
        <w:rPr>
          <w:rFonts w:ascii="宋体" w:hAnsi="宋体" w:cs="宋体"/>
          <w:b w:val="0"/>
          <w:color w:val="000000" w:themeColor="text1"/>
          <w:kern w:val="21"/>
          <w:sz w:val="21"/>
          <w:szCs w:val="21"/>
          <w:highlight w:val="none"/>
          <w14:textFill>
            <w14:solidFill>
              <w14:schemeClr w14:val="tx1"/>
            </w14:solidFill>
          </w14:textFill>
        </w:rPr>
      </w:pPr>
      <w:bookmarkStart w:id="19" w:name="_Toc351203633"/>
      <w:r>
        <w:rPr>
          <w:rFonts w:hint="eastAsia" w:ascii="宋体" w:hAnsi="宋体" w:cs="宋体"/>
          <w:b w:val="0"/>
          <w:color w:val="000000" w:themeColor="text1"/>
          <w:kern w:val="21"/>
          <w:sz w:val="21"/>
          <w:szCs w:val="21"/>
          <w:highlight w:val="none"/>
          <w14:textFill>
            <w14:solidFill>
              <w14:schemeClr w14:val="tx1"/>
            </w14:solidFill>
          </w14:textFill>
        </w:rPr>
        <w:t>1</w:t>
      </w:r>
      <w:bookmarkStart w:id="20" w:name="_Toc296346657"/>
      <w:bookmarkStart w:id="21" w:name="_Toc292559866"/>
      <w:bookmarkStart w:id="22" w:name="_Toc296944495"/>
      <w:bookmarkStart w:id="23" w:name="_Toc297048342"/>
      <w:bookmarkStart w:id="24" w:name="_Toc296891196"/>
      <w:bookmarkStart w:id="25" w:name="_Toc297120456"/>
      <w:bookmarkStart w:id="26" w:name="_Toc292559361"/>
      <w:bookmarkStart w:id="27" w:name="_Toc296890984"/>
      <w:bookmarkStart w:id="28" w:name="_Toc296503156"/>
      <w:bookmarkStart w:id="29" w:name="_Toc296347155"/>
      <w:r>
        <w:rPr>
          <w:rFonts w:hint="eastAsia" w:ascii="宋体" w:hAnsi="宋体" w:cs="宋体"/>
          <w:b w:val="0"/>
          <w:color w:val="000000" w:themeColor="text1"/>
          <w:kern w:val="21"/>
          <w:sz w:val="21"/>
          <w:szCs w:val="21"/>
          <w:highlight w:val="none"/>
          <w14:textFill>
            <w14:solidFill>
              <w14:schemeClr w14:val="tx1"/>
            </w14:solidFill>
          </w14:textFill>
        </w:rPr>
        <w:t>. 一般约定</w:t>
      </w:r>
      <w:bookmarkEnd w:id="19"/>
    </w:p>
    <w:bookmarkEnd w:id="20"/>
    <w:bookmarkEnd w:id="21"/>
    <w:bookmarkEnd w:id="22"/>
    <w:bookmarkEnd w:id="23"/>
    <w:bookmarkEnd w:id="24"/>
    <w:bookmarkEnd w:id="25"/>
    <w:bookmarkEnd w:id="26"/>
    <w:bookmarkEnd w:id="27"/>
    <w:bookmarkEnd w:id="28"/>
    <w:bookmarkEnd w:id="29"/>
    <w:p w14:paraId="6D99896C">
      <w:pPr>
        <w:spacing w:after="120" w:line="480" w:lineRule="exact"/>
        <w:ind w:firstLine="420" w:firstLineChars="200"/>
        <w:outlineLvl w:val="0"/>
        <w:rPr>
          <w:rFonts w:ascii="宋体" w:hAnsi="宋体" w:cs="宋体"/>
          <w:color w:val="000000" w:themeColor="text1"/>
          <w:kern w:val="21"/>
          <w:szCs w:val="21"/>
          <w:highlight w:val="none"/>
          <w14:textFill>
            <w14:solidFill>
              <w14:schemeClr w14:val="tx1"/>
            </w14:solidFill>
          </w14:textFill>
        </w:rPr>
      </w:pPr>
      <w:bookmarkStart w:id="30" w:name="_Toc22407"/>
      <w:r>
        <w:rPr>
          <w:rFonts w:hint="eastAsia" w:ascii="宋体" w:hAnsi="宋体" w:cs="宋体"/>
          <w:color w:val="000000" w:themeColor="text1"/>
          <w:kern w:val="21"/>
          <w:szCs w:val="21"/>
          <w:highlight w:val="none"/>
          <w14:textFill>
            <w14:solidFill>
              <w14:schemeClr w14:val="tx1"/>
            </w14:solidFill>
          </w14:textFill>
        </w:rPr>
        <w:t>1.1 词语定义</w:t>
      </w:r>
      <w:bookmarkEnd w:id="30"/>
    </w:p>
    <w:p w14:paraId="4427B557">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1.1.1合同</w:t>
      </w:r>
    </w:p>
    <w:p w14:paraId="558B1B47">
      <w:pPr>
        <w:spacing w:line="480" w:lineRule="exact"/>
        <w:ind w:left="1331" w:leftChars="284" w:hanging="735" w:hangingChars="350"/>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1.1.1.1其他合同文件包括：</w:t>
      </w:r>
      <w:r>
        <w:rPr>
          <w:rFonts w:hint="eastAsia" w:ascii="宋体" w:hAnsi="宋体" w:cs="宋体"/>
          <w:color w:val="000000" w:themeColor="text1"/>
          <w:kern w:val="21"/>
          <w:szCs w:val="21"/>
          <w:highlight w:val="none"/>
          <w:u w:val="single"/>
          <w14:textFill>
            <w14:solidFill>
              <w14:schemeClr w14:val="tx1"/>
            </w14:solidFill>
          </w14:textFill>
        </w:rPr>
        <w:t>成交通知书、竞争性磋商文件、答疑纪要及工程量清单、投标书、工程报价单或预算书及其附件、图纸、标准、规范及有关技术文件。</w:t>
      </w:r>
    </w:p>
    <w:p w14:paraId="7082CBF7">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1.1.2 合同当事人及其他相关方</w:t>
      </w:r>
    </w:p>
    <w:p w14:paraId="5E94518D">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1.1.2.4监理人：</w:t>
      </w:r>
    </w:p>
    <w:p w14:paraId="31C44ABE">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名    称：</w:t>
      </w:r>
      <w:r>
        <w:rPr>
          <w:rFonts w:hint="eastAsia" w:ascii="宋体" w:hAnsi="宋体" w:cs="宋体"/>
          <w:color w:val="000000" w:themeColor="text1"/>
          <w:kern w:val="21"/>
          <w:szCs w:val="21"/>
          <w:highlight w:val="none"/>
          <w:u w:val="single"/>
          <w14:textFill>
            <w14:solidFill>
              <w14:schemeClr w14:val="tx1"/>
            </w14:solidFill>
          </w14:textFill>
        </w:rPr>
        <w:t xml:space="preserve">                </w:t>
      </w:r>
      <w:r>
        <w:rPr>
          <w:rFonts w:hint="eastAsia" w:ascii="宋体" w:hAnsi="宋体" w:cs="宋体"/>
          <w:color w:val="000000" w:themeColor="text1"/>
          <w:kern w:val="21"/>
          <w:szCs w:val="21"/>
          <w:highlight w:val="none"/>
          <w14:textFill>
            <w14:solidFill>
              <w14:schemeClr w14:val="tx1"/>
            </w14:solidFill>
          </w14:textFill>
        </w:rPr>
        <w:t>；</w:t>
      </w:r>
    </w:p>
    <w:p w14:paraId="06B6A35C">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资质类别和等级：</w:t>
      </w:r>
      <w:r>
        <w:rPr>
          <w:rFonts w:hint="eastAsia" w:ascii="宋体" w:hAnsi="宋体" w:cs="宋体"/>
          <w:color w:val="000000" w:themeColor="text1"/>
          <w:kern w:val="21"/>
          <w:szCs w:val="21"/>
          <w:highlight w:val="none"/>
          <w:u w:val="single"/>
          <w14:textFill>
            <w14:solidFill>
              <w14:schemeClr w14:val="tx1"/>
            </w14:solidFill>
          </w14:textFill>
        </w:rPr>
        <w:t>               </w:t>
      </w:r>
      <w:r>
        <w:rPr>
          <w:rFonts w:hint="eastAsia" w:ascii="宋体" w:hAnsi="宋体" w:cs="宋体"/>
          <w:color w:val="000000" w:themeColor="text1"/>
          <w:kern w:val="21"/>
          <w:szCs w:val="21"/>
          <w:highlight w:val="none"/>
          <w14:textFill>
            <w14:solidFill>
              <w14:schemeClr w14:val="tx1"/>
            </w14:solidFill>
          </w14:textFill>
        </w:rPr>
        <w:t>；</w:t>
      </w:r>
    </w:p>
    <w:p w14:paraId="040796B9">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联系电话：</w:t>
      </w:r>
      <w:r>
        <w:rPr>
          <w:rFonts w:hint="eastAsia" w:ascii="宋体" w:hAnsi="宋体" w:cs="宋体"/>
          <w:color w:val="000000" w:themeColor="text1"/>
          <w:kern w:val="21"/>
          <w:szCs w:val="21"/>
          <w:highlight w:val="none"/>
          <w:u w:val="single"/>
          <w14:textFill>
            <w14:solidFill>
              <w14:schemeClr w14:val="tx1"/>
            </w14:solidFill>
          </w14:textFill>
        </w:rPr>
        <w:t>                </w:t>
      </w:r>
      <w:r>
        <w:rPr>
          <w:rFonts w:hint="eastAsia" w:ascii="宋体" w:hAnsi="宋体" w:cs="宋体"/>
          <w:color w:val="000000" w:themeColor="text1"/>
          <w:kern w:val="21"/>
          <w:szCs w:val="21"/>
          <w:highlight w:val="none"/>
          <w14:textFill>
            <w14:solidFill>
              <w14:schemeClr w14:val="tx1"/>
            </w14:solidFill>
          </w14:textFill>
        </w:rPr>
        <w:t>；</w:t>
      </w:r>
    </w:p>
    <w:p w14:paraId="4BB46B0D">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电子信箱：</w:t>
      </w:r>
      <w:r>
        <w:rPr>
          <w:rFonts w:hint="eastAsia" w:ascii="宋体" w:hAnsi="宋体" w:cs="宋体"/>
          <w:color w:val="000000" w:themeColor="text1"/>
          <w:kern w:val="21"/>
          <w:szCs w:val="21"/>
          <w:highlight w:val="none"/>
          <w:u w:val="single"/>
          <w14:textFill>
            <w14:solidFill>
              <w14:schemeClr w14:val="tx1"/>
            </w14:solidFill>
          </w14:textFill>
        </w:rPr>
        <w:t>                </w:t>
      </w:r>
      <w:r>
        <w:rPr>
          <w:rFonts w:hint="eastAsia" w:ascii="宋体" w:hAnsi="宋体" w:cs="宋体"/>
          <w:color w:val="000000" w:themeColor="text1"/>
          <w:kern w:val="21"/>
          <w:szCs w:val="21"/>
          <w:highlight w:val="none"/>
          <w14:textFill>
            <w14:solidFill>
              <w14:schemeClr w14:val="tx1"/>
            </w14:solidFill>
          </w14:textFill>
        </w:rPr>
        <w:t>；</w:t>
      </w:r>
    </w:p>
    <w:p w14:paraId="34DBAC05">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通信地址：</w:t>
      </w:r>
      <w:r>
        <w:rPr>
          <w:rFonts w:hint="eastAsia" w:ascii="宋体" w:hAnsi="宋体" w:cs="宋体"/>
          <w:color w:val="000000" w:themeColor="text1"/>
          <w:kern w:val="21"/>
          <w:szCs w:val="21"/>
          <w:highlight w:val="none"/>
          <w:u w:val="single"/>
          <w14:textFill>
            <w14:solidFill>
              <w14:schemeClr w14:val="tx1"/>
            </w14:solidFill>
          </w14:textFill>
        </w:rPr>
        <w:t>                </w:t>
      </w:r>
      <w:r>
        <w:rPr>
          <w:rFonts w:hint="eastAsia" w:ascii="宋体" w:hAnsi="宋体" w:cs="宋体"/>
          <w:color w:val="000000" w:themeColor="text1"/>
          <w:kern w:val="21"/>
          <w:szCs w:val="21"/>
          <w:highlight w:val="none"/>
          <w14:textFill>
            <w14:solidFill>
              <w14:schemeClr w14:val="tx1"/>
            </w14:solidFill>
          </w14:textFill>
        </w:rPr>
        <w:t>。</w:t>
      </w:r>
    </w:p>
    <w:p w14:paraId="155C1F2B">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1.1.2.5 设计人：</w:t>
      </w:r>
    </w:p>
    <w:p w14:paraId="185EEDD3">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名    称：</w:t>
      </w:r>
      <w:r>
        <w:rPr>
          <w:rFonts w:hint="eastAsia" w:ascii="宋体" w:hAnsi="宋体" w:cs="宋体"/>
          <w:color w:val="000000" w:themeColor="text1"/>
          <w:kern w:val="21"/>
          <w:szCs w:val="21"/>
          <w:highlight w:val="none"/>
          <w:u w:val="single"/>
          <w14:textFill>
            <w14:solidFill>
              <w14:schemeClr w14:val="tx1"/>
            </w14:solidFill>
          </w14:textFill>
        </w:rPr>
        <w:t xml:space="preserve">                 </w:t>
      </w:r>
      <w:r>
        <w:rPr>
          <w:rFonts w:hint="eastAsia" w:ascii="宋体" w:hAnsi="宋体" w:cs="宋体"/>
          <w:color w:val="000000" w:themeColor="text1"/>
          <w:kern w:val="21"/>
          <w:szCs w:val="21"/>
          <w:highlight w:val="none"/>
          <w14:textFill>
            <w14:solidFill>
              <w14:schemeClr w14:val="tx1"/>
            </w14:solidFill>
          </w14:textFill>
        </w:rPr>
        <w:t>；</w:t>
      </w:r>
    </w:p>
    <w:p w14:paraId="286B0CDF">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资质类别和等级：</w:t>
      </w:r>
      <w:r>
        <w:rPr>
          <w:rFonts w:hint="eastAsia" w:ascii="宋体" w:hAnsi="宋体" w:cs="宋体"/>
          <w:color w:val="000000" w:themeColor="text1"/>
          <w:kern w:val="21"/>
          <w:szCs w:val="21"/>
          <w:highlight w:val="none"/>
          <w:u w:val="single"/>
          <w14:textFill>
            <w14:solidFill>
              <w14:schemeClr w14:val="tx1"/>
            </w14:solidFill>
          </w14:textFill>
        </w:rPr>
        <w:t>               </w:t>
      </w:r>
      <w:r>
        <w:rPr>
          <w:rFonts w:hint="eastAsia" w:ascii="宋体" w:hAnsi="宋体" w:cs="宋体"/>
          <w:color w:val="000000" w:themeColor="text1"/>
          <w:kern w:val="21"/>
          <w:szCs w:val="21"/>
          <w:highlight w:val="none"/>
          <w14:textFill>
            <w14:solidFill>
              <w14:schemeClr w14:val="tx1"/>
            </w14:solidFill>
          </w14:textFill>
        </w:rPr>
        <w:t>；</w:t>
      </w:r>
    </w:p>
    <w:p w14:paraId="3721125B">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联系电话：</w:t>
      </w:r>
      <w:r>
        <w:rPr>
          <w:rFonts w:hint="eastAsia" w:ascii="宋体" w:hAnsi="宋体" w:cs="宋体"/>
          <w:color w:val="000000" w:themeColor="text1"/>
          <w:kern w:val="21"/>
          <w:szCs w:val="21"/>
          <w:highlight w:val="none"/>
          <w:u w:val="single"/>
          <w14:textFill>
            <w14:solidFill>
              <w14:schemeClr w14:val="tx1"/>
            </w14:solidFill>
          </w14:textFill>
        </w:rPr>
        <w:t>                 </w:t>
      </w:r>
      <w:r>
        <w:rPr>
          <w:rFonts w:hint="eastAsia" w:ascii="宋体" w:hAnsi="宋体" w:cs="宋体"/>
          <w:color w:val="000000" w:themeColor="text1"/>
          <w:kern w:val="21"/>
          <w:szCs w:val="21"/>
          <w:highlight w:val="none"/>
          <w14:textFill>
            <w14:solidFill>
              <w14:schemeClr w14:val="tx1"/>
            </w14:solidFill>
          </w14:textFill>
        </w:rPr>
        <w:t>；</w:t>
      </w:r>
    </w:p>
    <w:p w14:paraId="75741680">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电子信箱：</w:t>
      </w:r>
      <w:r>
        <w:rPr>
          <w:rFonts w:hint="eastAsia" w:ascii="宋体" w:hAnsi="宋体" w:cs="宋体"/>
          <w:color w:val="000000" w:themeColor="text1"/>
          <w:kern w:val="21"/>
          <w:szCs w:val="21"/>
          <w:highlight w:val="none"/>
          <w:u w:val="single"/>
          <w14:textFill>
            <w14:solidFill>
              <w14:schemeClr w14:val="tx1"/>
            </w14:solidFill>
          </w14:textFill>
        </w:rPr>
        <w:t xml:space="preserve">                    </w:t>
      </w:r>
      <w:r>
        <w:rPr>
          <w:rFonts w:hint="eastAsia" w:ascii="宋体" w:hAnsi="宋体" w:cs="宋体"/>
          <w:color w:val="000000" w:themeColor="text1"/>
          <w:kern w:val="21"/>
          <w:szCs w:val="21"/>
          <w:highlight w:val="none"/>
          <w14:textFill>
            <w14:solidFill>
              <w14:schemeClr w14:val="tx1"/>
            </w14:solidFill>
          </w14:textFill>
        </w:rPr>
        <w:t>；</w:t>
      </w:r>
    </w:p>
    <w:p w14:paraId="1C52C5C6">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通信地址：</w:t>
      </w:r>
      <w:r>
        <w:rPr>
          <w:rFonts w:hint="eastAsia" w:ascii="宋体" w:hAnsi="宋体" w:cs="宋体"/>
          <w:color w:val="000000" w:themeColor="text1"/>
          <w:kern w:val="21"/>
          <w:szCs w:val="21"/>
          <w:highlight w:val="none"/>
          <w:u w:val="single"/>
          <w14:textFill>
            <w14:solidFill>
              <w14:schemeClr w14:val="tx1"/>
            </w14:solidFill>
          </w14:textFill>
        </w:rPr>
        <w:t>                </w:t>
      </w:r>
      <w:r>
        <w:rPr>
          <w:rFonts w:hint="eastAsia" w:ascii="宋体" w:hAnsi="宋体" w:cs="宋体"/>
          <w:color w:val="000000" w:themeColor="text1"/>
          <w:kern w:val="21"/>
          <w:szCs w:val="21"/>
          <w:highlight w:val="none"/>
          <w14:textFill>
            <w14:solidFill>
              <w14:schemeClr w14:val="tx1"/>
            </w14:solidFill>
          </w14:textFill>
        </w:rPr>
        <w:t>。</w:t>
      </w:r>
    </w:p>
    <w:p w14:paraId="452673AC">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1.1.3 工程和设备</w:t>
      </w:r>
    </w:p>
    <w:p w14:paraId="7FB0E361">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1.1.3.7 作为施工现场组成部分的其他场所包括：</w:t>
      </w:r>
      <w:r>
        <w:rPr>
          <w:rFonts w:hint="eastAsia" w:ascii="宋体" w:hAnsi="宋体" w:cs="宋体"/>
          <w:color w:val="000000" w:themeColor="text1"/>
          <w:kern w:val="21"/>
          <w:szCs w:val="21"/>
          <w:highlight w:val="none"/>
          <w:u w:val="single"/>
          <w14:textFill>
            <w14:solidFill>
              <w14:schemeClr w14:val="tx1"/>
            </w14:solidFill>
          </w14:textFill>
        </w:rPr>
        <w:t xml:space="preserve">符合通用条款规定的发包人提供的施工场地和发包人指定的施工作业区域 </w:t>
      </w:r>
      <w:r>
        <w:rPr>
          <w:rFonts w:hint="eastAsia" w:ascii="宋体" w:hAnsi="宋体" w:cs="宋体"/>
          <w:color w:val="000000" w:themeColor="text1"/>
          <w:kern w:val="21"/>
          <w:szCs w:val="21"/>
          <w:highlight w:val="none"/>
          <w14:textFill>
            <w14:solidFill>
              <w14:schemeClr w14:val="tx1"/>
            </w14:solidFill>
          </w14:textFill>
        </w:rPr>
        <w:t>。</w:t>
      </w:r>
    </w:p>
    <w:p w14:paraId="2F61AA6A">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1.1.3.9 永久占地包括：</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p>
    <w:p w14:paraId="0A6B63ED">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1.1.3.10 临时占地包括：</w:t>
      </w:r>
      <w:r>
        <w:rPr>
          <w:rFonts w:hint="eastAsia" w:ascii="宋体" w:hAnsi="宋体" w:cs="宋体"/>
          <w:color w:val="000000" w:themeColor="text1"/>
          <w:kern w:val="21"/>
          <w:szCs w:val="21"/>
          <w:highlight w:val="none"/>
          <w:u w:val="single"/>
          <w14:textFill>
            <w14:solidFill>
              <w14:schemeClr w14:val="tx1"/>
            </w14:solidFill>
          </w14:textFill>
        </w:rPr>
        <w:t>双方在合同履行过程中确定</w:t>
      </w:r>
      <w:r>
        <w:rPr>
          <w:rFonts w:hint="eastAsia" w:ascii="宋体" w:hAnsi="宋体" w:cs="宋体"/>
          <w:color w:val="000000" w:themeColor="text1"/>
          <w:kern w:val="21"/>
          <w:szCs w:val="21"/>
          <w:highlight w:val="none"/>
          <w14:textFill>
            <w14:solidFill>
              <w14:schemeClr w14:val="tx1"/>
            </w14:solidFill>
          </w14:textFill>
        </w:rPr>
        <w:t>。</w:t>
      </w:r>
    </w:p>
    <w:p w14:paraId="23FD9488">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 xml:space="preserve">1.3法律 </w:t>
      </w:r>
    </w:p>
    <w:p w14:paraId="40BBFE57">
      <w:pPr>
        <w:autoSpaceDE w:val="0"/>
        <w:autoSpaceDN w:val="0"/>
        <w:adjustRightInd w:val="0"/>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适用于合同的其他规范性文件：</w:t>
      </w:r>
      <w:r>
        <w:rPr>
          <w:rFonts w:hint="eastAsia" w:ascii="宋体" w:hAnsi="宋体" w:cs="宋体"/>
          <w:color w:val="000000" w:themeColor="text1"/>
          <w:kern w:val="21"/>
          <w:szCs w:val="21"/>
          <w:highlight w:val="none"/>
          <w:u w:val="single"/>
          <w14:textFill>
            <w14:solidFill>
              <w14:schemeClr w14:val="tx1"/>
            </w14:solidFill>
          </w14:textFill>
        </w:rPr>
        <w:t>《中华人民共和国建筑法》、《中华人民共和国民法典》、《中华人民共和国招投标法》及陕西省有关建设工程质量、安全文明施工、环境保护、治污减霾等陕西省、</w:t>
      </w:r>
      <w:r>
        <w:rPr>
          <w:rFonts w:hint="eastAsia" w:ascii="宋体" w:hAnsi="宋体" w:cs="宋体"/>
          <w:color w:val="000000" w:themeColor="text1"/>
          <w:kern w:val="21"/>
          <w:szCs w:val="21"/>
          <w:highlight w:val="none"/>
          <w:u w:val="single"/>
          <w:lang w:val="en-US" w:eastAsia="zh-CN"/>
          <w14:textFill>
            <w14:solidFill>
              <w14:schemeClr w14:val="tx1"/>
            </w14:solidFill>
          </w14:textFill>
        </w:rPr>
        <w:t>渭南</w:t>
      </w:r>
      <w:r>
        <w:rPr>
          <w:rFonts w:hint="eastAsia" w:ascii="宋体" w:hAnsi="宋体" w:cs="宋体"/>
          <w:color w:val="000000" w:themeColor="text1"/>
          <w:kern w:val="21"/>
          <w:szCs w:val="21"/>
          <w:highlight w:val="none"/>
          <w:u w:val="single"/>
          <w14:textFill>
            <w14:solidFill>
              <w14:schemeClr w14:val="tx1"/>
            </w14:solidFill>
          </w14:textFill>
        </w:rPr>
        <w:t>市相关规定</w:t>
      </w:r>
      <w:r>
        <w:rPr>
          <w:rFonts w:hint="eastAsia" w:ascii="宋体" w:hAnsi="宋体" w:cs="宋体"/>
          <w:color w:val="000000" w:themeColor="text1"/>
          <w:kern w:val="21"/>
          <w:szCs w:val="21"/>
          <w:highlight w:val="none"/>
          <w14:textFill>
            <w14:solidFill>
              <w14:schemeClr w14:val="tx1"/>
            </w14:solidFill>
          </w14:textFill>
        </w:rPr>
        <w:t>。</w:t>
      </w:r>
    </w:p>
    <w:p w14:paraId="514D00FC">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1.4 标准和规范</w:t>
      </w:r>
    </w:p>
    <w:p w14:paraId="3C298051">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1.4.1适用于工程的标准规范包括：</w:t>
      </w:r>
      <w:r>
        <w:rPr>
          <w:rFonts w:hint="eastAsia" w:ascii="宋体" w:hAnsi="宋体" w:cs="宋体"/>
          <w:color w:val="000000" w:themeColor="text1"/>
          <w:kern w:val="21"/>
          <w:szCs w:val="21"/>
          <w:highlight w:val="none"/>
          <w:u w:val="single"/>
          <w14:textFill>
            <w14:solidFill>
              <w14:schemeClr w14:val="tx1"/>
            </w14:solidFill>
          </w14:textFill>
        </w:rPr>
        <w:t>适用于工程的现行国家标准、行业标准、工程所在地的地方性标准，以及相应的规范、规程等。这些标准和规范由承包人自行购买，并承担相关费用</w:t>
      </w:r>
      <w:r>
        <w:rPr>
          <w:rFonts w:hint="eastAsia" w:ascii="宋体" w:hAnsi="宋体" w:cs="宋体"/>
          <w:color w:val="000000" w:themeColor="text1"/>
          <w:kern w:val="21"/>
          <w:szCs w:val="21"/>
          <w:highlight w:val="none"/>
          <w14:textFill>
            <w14:solidFill>
              <w14:schemeClr w14:val="tx1"/>
            </w14:solidFill>
          </w14:textFill>
        </w:rPr>
        <w:t>。</w:t>
      </w:r>
    </w:p>
    <w:p w14:paraId="6A61DA3B">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1.4.2 发包人提供国外标准、规范的名称：</w:t>
      </w:r>
      <w:r>
        <w:rPr>
          <w:rFonts w:hint="eastAsia" w:ascii="宋体" w:hAnsi="宋体" w:cs="宋体"/>
          <w:color w:val="000000" w:themeColor="text1"/>
          <w:kern w:val="21"/>
          <w:szCs w:val="21"/>
          <w:highlight w:val="none"/>
          <w:u w:val="single"/>
          <w14:textFill>
            <w14:solidFill>
              <w14:schemeClr w14:val="tx1"/>
            </w14:solidFill>
          </w14:textFill>
        </w:rPr>
        <w:t>/</w:t>
      </w:r>
      <w:r>
        <w:rPr>
          <w:rFonts w:hint="eastAsia" w:ascii="宋体" w:hAnsi="宋体" w:cs="宋体"/>
          <w:color w:val="000000" w:themeColor="text1"/>
          <w:kern w:val="21"/>
          <w:szCs w:val="21"/>
          <w:highlight w:val="none"/>
          <w14:textFill>
            <w14:solidFill>
              <w14:schemeClr w14:val="tx1"/>
            </w14:solidFill>
          </w14:textFill>
        </w:rPr>
        <w:t>；</w:t>
      </w:r>
    </w:p>
    <w:p w14:paraId="4C465411">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发包人提供国外标准、规范的份数：</w:t>
      </w:r>
      <w:r>
        <w:rPr>
          <w:rFonts w:hint="eastAsia" w:ascii="宋体" w:hAnsi="宋体" w:cs="宋体"/>
          <w:color w:val="000000" w:themeColor="text1"/>
          <w:kern w:val="21"/>
          <w:szCs w:val="21"/>
          <w:highlight w:val="none"/>
          <w:u w:val="single"/>
          <w14:textFill>
            <w14:solidFill>
              <w14:schemeClr w14:val="tx1"/>
            </w14:solidFill>
          </w14:textFill>
        </w:rPr>
        <w:t>/</w:t>
      </w:r>
      <w:r>
        <w:rPr>
          <w:rFonts w:hint="eastAsia" w:ascii="宋体" w:hAnsi="宋体" w:cs="宋体"/>
          <w:color w:val="000000" w:themeColor="text1"/>
          <w:kern w:val="21"/>
          <w:szCs w:val="21"/>
          <w:highlight w:val="none"/>
          <w14:textFill>
            <w14:solidFill>
              <w14:schemeClr w14:val="tx1"/>
            </w14:solidFill>
          </w14:textFill>
        </w:rPr>
        <w:t>；</w:t>
      </w:r>
    </w:p>
    <w:p w14:paraId="19BC3E7C">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发包人提供国外标准、规范的名称：</w:t>
      </w:r>
      <w:r>
        <w:rPr>
          <w:rFonts w:hint="eastAsia" w:ascii="宋体" w:hAnsi="宋体" w:cs="宋体"/>
          <w:color w:val="000000" w:themeColor="text1"/>
          <w:kern w:val="21"/>
          <w:szCs w:val="21"/>
          <w:highlight w:val="none"/>
          <w:u w:val="single"/>
          <w14:textFill>
            <w14:solidFill>
              <w14:schemeClr w14:val="tx1"/>
            </w14:solidFill>
          </w14:textFill>
        </w:rPr>
        <w:t>/</w:t>
      </w:r>
      <w:r>
        <w:rPr>
          <w:rFonts w:hint="eastAsia" w:ascii="宋体" w:hAnsi="宋体" w:cs="宋体"/>
          <w:color w:val="000000" w:themeColor="text1"/>
          <w:kern w:val="21"/>
          <w:szCs w:val="21"/>
          <w:highlight w:val="none"/>
          <w14:textFill>
            <w14:solidFill>
              <w14:schemeClr w14:val="tx1"/>
            </w14:solidFill>
          </w14:textFill>
        </w:rPr>
        <w:t>。</w:t>
      </w:r>
    </w:p>
    <w:p w14:paraId="6CAE1AAA">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1.4.3发包人对工程的技术标准和功能要求的特殊要求:</w:t>
      </w:r>
      <w:r>
        <w:rPr>
          <w:rFonts w:hint="eastAsia" w:ascii="宋体" w:hAnsi="宋体" w:cs="宋体"/>
          <w:color w:val="000000" w:themeColor="text1"/>
          <w:kern w:val="21"/>
          <w:szCs w:val="21"/>
          <w:highlight w:val="none"/>
          <w:u w:val="single"/>
          <w14:textFill>
            <w14:solidFill>
              <w14:schemeClr w14:val="tx1"/>
            </w14:solidFill>
          </w14:textFill>
        </w:rPr>
        <w:t>/</w:t>
      </w:r>
      <w:r>
        <w:rPr>
          <w:rFonts w:hint="eastAsia" w:ascii="宋体" w:hAnsi="宋体" w:cs="宋体"/>
          <w:color w:val="000000" w:themeColor="text1"/>
          <w:kern w:val="21"/>
          <w:szCs w:val="21"/>
          <w:highlight w:val="none"/>
          <w14:textFill>
            <w14:solidFill>
              <w14:schemeClr w14:val="tx1"/>
            </w14:solidFill>
          </w14:textFill>
        </w:rPr>
        <w:t>。</w:t>
      </w:r>
    </w:p>
    <w:p w14:paraId="50C38569">
      <w:pPr>
        <w:spacing w:after="120" w:line="480" w:lineRule="exact"/>
        <w:ind w:firstLine="420" w:firstLineChars="200"/>
        <w:outlineLvl w:val="0"/>
        <w:rPr>
          <w:rFonts w:ascii="宋体" w:hAnsi="宋体" w:cs="宋体"/>
          <w:color w:val="000000" w:themeColor="text1"/>
          <w:kern w:val="21"/>
          <w:szCs w:val="21"/>
          <w:highlight w:val="none"/>
          <w14:textFill>
            <w14:solidFill>
              <w14:schemeClr w14:val="tx1"/>
            </w14:solidFill>
          </w14:textFill>
        </w:rPr>
      </w:pPr>
      <w:bookmarkStart w:id="31" w:name="_Toc28992"/>
      <w:r>
        <w:rPr>
          <w:rFonts w:hint="eastAsia" w:ascii="宋体" w:hAnsi="宋体" w:cs="宋体"/>
          <w:color w:val="000000" w:themeColor="text1"/>
          <w:kern w:val="21"/>
          <w:szCs w:val="21"/>
          <w:highlight w:val="none"/>
          <w14:textFill>
            <w14:solidFill>
              <w14:schemeClr w14:val="tx1"/>
            </w14:solidFill>
          </w14:textFill>
        </w:rPr>
        <w:t>1.5 合同文件的优先顺序</w:t>
      </w:r>
      <w:bookmarkEnd w:id="31"/>
    </w:p>
    <w:p w14:paraId="3E7CCD7D">
      <w:pPr>
        <w:spacing w:line="480" w:lineRule="exact"/>
        <w:ind w:firstLine="420" w:firstLineChars="200"/>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合同文件组成及优先顺序为：</w:t>
      </w:r>
      <w:r>
        <w:rPr>
          <w:rFonts w:hint="eastAsia" w:ascii="宋体" w:hAnsi="宋体" w:cs="宋体"/>
          <w:color w:val="000000" w:themeColor="text1"/>
          <w:kern w:val="21"/>
          <w:szCs w:val="21"/>
          <w:highlight w:val="none"/>
          <w:u w:val="single"/>
          <w14:textFill>
            <w14:solidFill>
              <w14:schemeClr w14:val="tx1"/>
            </w14:solidFill>
          </w14:textFill>
        </w:rPr>
        <w:t xml:space="preserve"> 1、本合同协议书；2、成交通知书；3、本合同专用条款；4、招标文件、答疑纪要及工程量清单；5、最终版投标文件；6、通用条款；7、标准、规范及有关技术文件；8、施工图纸。</w:t>
      </w:r>
    </w:p>
    <w:p w14:paraId="2F947D0B">
      <w:pPr>
        <w:spacing w:after="120" w:line="480" w:lineRule="exact"/>
        <w:ind w:firstLine="420" w:firstLineChars="200"/>
        <w:outlineLvl w:val="0"/>
        <w:rPr>
          <w:rFonts w:ascii="宋体" w:hAnsi="宋体" w:cs="宋体"/>
          <w:color w:val="000000" w:themeColor="text1"/>
          <w:kern w:val="21"/>
          <w:szCs w:val="21"/>
          <w:highlight w:val="none"/>
          <w14:textFill>
            <w14:solidFill>
              <w14:schemeClr w14:val="tx1"/>
            </w14:solidFill>
          </w14:textFill>
        </w:rPr>
      </w:pPr>
      <w:bookmarkStart w:id="32" w:name="_Toc26552"/>
      <w:r>
        <w:rPr>
          <w:rFonts w:hint="eastAsia" w:ascii="宋体" w:hAnsi="宋体" w:cs="宋体"/>
          <w:color w:val="000000" w:themeColor="text1"/>
          <w:kern w:val="21"/>
          <w:szCs w:val="21"/>
          <w:highlight w:val="none"/>
          <w14:textFill>
            <w14:solidFill>
              <w14:schemeClr w14:val="tx1"/>
            </w14:solidFill>
          </w14:textFill>
        </w:rPr>
        <w:t>1.6 图纸和承包人文件</w:t>
      </w:r>
      <w:bookmarkEnd w:id="32"/>
      <w:r>
        <w:rPr>
          <w:rFonts w:hint="eastAsia" w:ascii="宋体" w:hAnsi="宋体" w:cs="宋体"/>
          <w:color w:val="000000" w:themeColor="text1"/>
          <w:kern w:val="21"/>
          <w:szCs w:val="21"/>
          <w:highlight w:val="none"/>
          <w14:textFill>
            <w14:solidFill>
              <w14:schemeClr w14:val="tx1"/>
            </w14:solidFill>
          </w14:textFill>
        </w:rPr>
        <w:tab/>
      </w:r>
    </w:p>
    <w:p w14:paraId="7A6AA1F3">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1.6.1 图纸的提供</w:t>
      </w:r>
    </w:p>
    <w:p w14:paraId="4CB057C7">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发包人向承包人提供图纸的期限：</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p>
    <w:p w14:paraId="4F3F36FC">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发包人向承包人提供图纸的数量：</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p>
    <w:p w14:paraId="3B3D8982">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发包人向承包人提供图纸的内容：</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p>
    <w:p w14:paraId="43CC1E5F">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1.6.4 承包人文件</w:t>
      </w:r>
    </w:p>
    <w:p w14:paraId="0D89A3E3">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需要由承包人提供的文件，包括：</w:t>
      </w:r>
      <w:r>
        <w:rPr>
          <w:rFonts w:hint="eastAsia" w:ascii="宋体" w:hAnsi="宋体" w:cs="宋体"/>
          <w:color w:val="000000" w:themeColor="text1"/>
          <w:kern w:val="21"/>
          <w:szCs w:val="21"/>
          <w:highlight w:val="none"/>
          <w:u w:val="single"/>
          <w14:textFill>
            <w14:solidFill>
              <w14:schemeClr w14:val="tx1"/>
            </w14:solidFill>
          </w14:textFill>
        </w:rPr>
        <w:t xml:space="preserve">开工报告、施工总进度计划、详细工程进度计划、工作量报表、施工用电、用水计划等 </w:t>
      </w:r>
      <w:r>
        <w:rPr>
          <w:rFonts w:hint="eastAsia" w:ascii="宋体" w:hAnsi="宋体" w:cs="宋体"/>
          <w:color w:val="000000" w:themeColor="text1"/>
          <w:kern w:val="21"/>
          <w:szCs w:val="21"/>
          <w:highlight w:val="none"/>
          <w14:textFill>
            <w14:solidFill>
              <w14:schemeClr w14:val="tx1"/>
            </w14:solidFill>
          </w14:textFill>
        </w:rPr>
        <w:t>；</w:t>
      </w:r>
    </w:p>
    <w:p w14:paraId="642AA041">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承包人提供的文件的期限为：</w:t>
      </w:r>
      <w:r>
        <w:rPr>
          <w:rFonts w:hint="eastAsia" w:ascii="宋体" w:hAnsi="宋体" w:cs="宋体"/>
          <w:color w:val="000000" w:themeColor="text1"/>
          <w:kern w:val="21"/>
          <w:szCs w:val="21"/>
          <w:highlight w:val="none"/>
          <w:u w:val="single"/>
          <w14:textFill>
            <w14:solidFill>
              <w14:schemeClr w14:val="tx1"/>
            </w14:solidFill>
          </w14:textFill>
        </w:rPr>
        <w:t xml:space="preserve">签订合同后3天提供项目部人员组成、资质，开工前7天向发包人提交详细施工组织设计，每月25日前向发包人、监理单位提供本月完成工程量报表，下月进度计划表 </w:t>
      </w:r>
      <w:r>
        <w:rPr>
          <w:rFonts w:hint="eastAsia" w:ascii="宋体" w:hAnsi="宋体" w:cs="宋体"/>
          <w:color w:val="000000" w:themeColor="text1"/>
          <w:kern w:val="21"/>
          <w:szCs w:val="21"/>
          <w:highlight w:val="none"/>
          <w14:textFill>
            <w14:solidFill>
              <w14:schemeClr w14:val="tx1"/>
            </w14:solidFill>
          </w14:textFill>
        </w:rPr>
        <w:t>；</w:t>
      </w:r>
    </w:p>
    <w:p w14:paraId="0D406D04">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承包人提供的文件的数量为：</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p>
    <w:p w14:paraId="7674A210">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承包人提供的文件的形式为：</w:t>
      </w:r>
      <w:r>
        <w:rPr>
          <w:rFonts w:hint="eastAsia" w:ascii="宋体" w:hAnsi="宋体" w:cs="宋体"/>
          <w:color w:val="000000" w:themeColor="text1"/>
          <w:kern w:val="21"/>
          <w:szCs w:val="21"/>
          <w:highlight w:val="none"/>
          <w:u w:val="single"/>
          <w14:textFill>
            <w14:solidFill>
              <w14:schemeClr w14:val="tx1"/>
            </w14:solidFill>
          </w14:textFill>
        </w:rPr>
        <w:t>书面</w:t>
      </w:r>
      <w:r>
        <w:rPr>
          <w:rFonts w:hint="eastAsia" w:ascii="宋体" w:hAnsi="宋体" w:cs="宋体"/>
          <w:color w:val="000000" w:themeColor="text1"/>
          <w:kern w:val="21"/>
          <w:szCs w:val="21"/>
          <w:highlight w:val="none"/>
          <w14:textFill>
            <w14:solidFill>
              <w14:schemeClr w14:val="tx1"/>
            </w14:solidFill>
          </w14:textFill>
        </w:rPr>
        <w:t>；</w:t>
      </w:r>
    </w:p>
    <w:p w14:paraId="5DD1FB5E">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发包人审批承包人文件的期限：</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p>
    <w:p w14:paraId="278AADF5">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1.6.5 现场图纸准备</w:t>
      </w:r>
    </w:p>
    <w:p w14:paraId="1B46E791">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关于现场图纸准备的约定：</w:t>
      </w:r>
      <w:r>
        <w:rPr>
          <w:rFonts w:hint="eastAsia" w:ascii="宋体" w:hAnsi="宋体" w:cs="宋体"/>
          <w:color w:val="000000" w:themeColor="text1"/>
          <w:kern w:val="21"/>
          <w:szCs w:val="21"/>
          <w:highlight w:val="none"/>
          <w:u w:val="single"/>
          <w14:textFill>
            <w14:solidFill>
              <w14:schemeClr w14:val="tx1"/>
            </w14:solidFill>
          </w14:textFill>
        </w:rPr>
        <w:t>工程文件负有保密义务，不得任意扩大接触和使用范围，不得泄露给与本工程无关的其他人员。发包人无需支付保密措施费用。因承包人原因造成泄密的，应承担赔偿损失等法律责任。</w:t>
      </w:r>
    </w:p>
    <w:p w14:paraId="79BFBDAE">
      <w:pPr>
        <w:spacing w:after="120" w:line="480" w:lineRule="exact"/>
        <w:ind w:firstLine="420" w:firstLineChars="200"/>
        <w:outlineLvl w:val="0"/>
        <w:rPr>
          <w:rFonts w:ascii="宋体" w:hAnsi="宋体" w:cs="宋体"/>
          <w:color w:val="000000" w:themeColor="text1"/>
          <w:kern w:val="21"/>
          <w:szCs w:val="21"/>
          <w:highlight w:val="none"/>
          <w14:textFill>
            <w14:solidFill>
              <w14:schemeClr w14:val="tx1"/>
            </w14:solidFill>
          </w14:textFill>
        </w:rPr>
      </w:pPr>
      <w:bookmarkStart w:id="33" w:name="_Toc21462"/>
      <w:r>
        <w:rPr>
          <w:rFonts w:hint="eastAsia" w:ascii="宋体" w:hAnsi="宋体" w:cs="宋体"/>
          <w:color w:val="000000" w:themeColor="text1"/>
          <w:kern w:val="21"/>
          <w:szCs w:val="21"/>
          <w:highlight w:val="none"/>
          <w14:textFill>
            <w14:solidFill>
              <w14:schemeClr w14:val="tx1"/>
            </w14:solidFill>
          </w14:textFill>
        </w:rPr>
        <w:t>1.7 联络</w:t>
      </w:r>
      <w:bookmarkEnd w:id="33"/>
    </w:p>
    <w:p w14:paraId="1B4EFF5B">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1.7.1发包人和承包人应当在</w:t>
      </w:r>
      <w:r>
        <w:rPr>
          <w:rFonts w:hint="eastAsia" w:ascii="宋体" w:hAnsi="宋体" w:cs="宋体"/>
          <w:color w:val="000000" w:themeColor="text1"/>
          <w:kern w:val="21"/>
          <w:szCs w:val="21"/>
          <w:highlight w:val="none"/>
          <w:u w:val="single"/>
          <w14:textFill>
            <w14:solidFill>
              <w14:schemeClr w14:val="tx1"/>
            </w14:solidFill>
          </w14:textFill>
        </w:rPr>
        <w:t xml:space="preserve"> 2 </w:t>
      </w:r>
      <w:r>
        <w:rPr>
          <w:rFonts w:hint="eastAsia" w:ascii="宋体" w:hAnsi="宋体" w:cs="宋体"/>
          <w:color w:val="000000" w:themeColor="text1"/>
          <w:kern w:val="21"/>
          <w:szCs w:val="21"/>
          <w:highlight w:val="none"/>
          <w14:textFill>
            <w14:solidFill>
              <w14:schemeClr w14:val="tx1"/>
            </w14:solidFill>
          </w14:textFill>
        </w:rPr>
        <w:t>天内将与合同有关的通知、批准、证明、证书、指示、指令、要求、请求、同意、意见、确定和决定等书面函件送达对方当事人。</w:t>
      </w:r>
    </w:p>
    <w:p w14:paraId="5DFF4FAB">
      <w:pPr>
        <w:spacing w:line="480" w:lineRule="exact"/>
        <w:ind w:firstLine="420" w:firstLineChars="200"/>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1.7.2 发包人接收文件的地点：</w:t>
      </w:r>
      <w:r>
        <w:rPr>
          <w:rFonts w:hint="eastAsia" w:ascii="宋体" w:hAnsi="宋体" w:cs="宋体"/>
          <w:color w:val="000000" w:themeColor="text1"/>
          <w:kern w:val="21"/>
          <w:szCs w:val="21"/>
          <w:highlight w:val="none"/>
          <w:u w:val="single"/>
          <w14:textFill>
            <w14:solidFill>
              <w14:schemeClr w14:val="tx1"/>
            </w14:solidFill>
          </w14:textFill>
        </w:rPr>
        <w:t>发包人施工现场办公室；</w:t>
      </w:r>
    </w:p>
    <w:p w14:paraId="7A5E7099">
      <w:pPr>
        <w:spacing w:line="480" w:lineRule="exact"/>
        <w:ind w:firstLine="420" w:firstLineChars="200"/>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发包人指定的接收人为：</w:t>
      </w:r>
      <w:r>
        <w:rPr>
          <w:rFonts w:hint="eastAsia" w:ascii="宋体" w:hAnsi="宋体" w:cs="宋体"/>
          <w:color w:val="000000" w:themeColor="text1"/>
          <w:kern w:val="21"/>
          <w:szCs w:val="21"/>
          <w:highlight w:val="none"/>
          <w:u w:val="single"/>
          <w14:textFill>
            <w14:solidFill>
              <w14:schemeClr w14:val="tx1"/>
            </w14:solidFill>
          </w14:textFill>
        </w:rPr>
        <w:t>该标段甲方代表 。</w:t>
      </w:r>
    </w:p>
    <w:p w14:paraId="34AA8F22">
      <w:pPr>
        <w:spacing w:line="480" w:lineRule="exact"/>
        <w:ind w:firstLine="420" w:firstLineChars="200"/>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承包人接收文件的地点：</w:t>
      </w:r>
      <w:r>
        <w:rPr>
          <w:rFonts w:hint="eastAsia" w:ascii="宋体" w:hAnsi="宋体" w:cs="宋体"/>
          <w:color w:val="000000" w:themeColor="text1"/>
          <w:kern w:val="21"/>
          <w:szCs w:val="21"/>
          <w:highlight w:val="none"/>
          <w:u w:val="single"/>
          <w14:textFill>
            <w14:solidFill>
              <w14:schemeClr w14:val="tx1"/>
            </w14:solidFill>
          </w14:textFill>
        </w:rPr>
        <w:t>承包人施工现场办公室 ；</w:t>
      </w:r>
    </w:p>
    <w:p w14:paraId="28292EE9">
      <w:pPr>
        <w:spacing w:line="480" w:lineRule="exact"/>
        <w:ind w:firstLine="420" w:firstLineChars="200"/>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承包人指定的接收人为：</w:t>
      </w:r>
      <w:r>
        <w:rPr>
          <w:rFonts w:hint="eastAsia" w:ascii="宋体" w:hAnsi="宋体" w:cs="宋体"/>
          <w:color w:val="000000" w:themeColor="text1"/>
          <w:kern w:val="21"/>
          <w:szCs w:val="21"/>
          <w:highlight w:val="none"/>
          <w:u w:val="single"/>
          <w14:textFill>
            <w14:solidFill>
              <w14:schemeClr w14:val="tx1"/>
            </w14:solidFill>
          </w14:textFill>
        </w:rPr>
        <w:t>承包方项目经理 。</w:t>
      </w:r>
    </w:p>
    <w:p w14:paraId="50AE8528">
      <w:pPr>
        <w:spacing w:line="480" w:lineRule="exact"/>
        <w:ind w:firstLine="420" w:firstLineChars="200"/>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监理人接收文件的地点：</w:t>
      </w:r>
      <w:r>
        <w:rPr>
          <w:rFonts w:hint="eastAsia" w:ascii="宋体" w:hAnsi="宋体" w:cs="宋体"/>
          <w:color w:val="000000" w:themeColor="text1"/>
          <w:kern w:val="21"/>
          <w:szCs w:val="21"/>
          <w:highlight w:val="none"/>
          <w:u w:val="single"/>
          <w14:textFill>
            <w14:solidFill>
              <w14:schemeClr w14:val="tx1"/>
            </w14:solidFill>
          </w14:textFill>
        </w:rPr>
        <w:t>项目总监办公室；</w:t>
      </w:r>
    </w:p>
    <w:p w14:paraId="4B816F6A">
      <w:pPr>
        <w:spacing w:line="480" w:lineRule="exact"/>
        <w:ind w:firstLine="420" w:firstLineChars="200"/>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监理人指定的接收人为：</w:t>
      </w:r>
      <w:r>
        <w:rPr>
          <w:rFonts w:hint="eastAsia" w:ascii="宋体" w:hAnsi="宋体" w:cs="宋体"/>
          <w:color w:val="000000" w:themeColor="text1"/>
          <w:kern w:val="21"/>
          <w:szCs w:val="21"/>
          <w:highlight w:val="none"/>
          <w:u w:val="single"/>
          <w14:textFill>
            <w14:solidFill>
              <w14:schemeClr w14:val="tx1"/>
            </w14:solidFill>
          </w14:textFill>
        </w:rPr>
        <w:t>总监理工程师 。</w:t>
      </w:r>
    </w:p>
    <w:p w14:paraId="18D2D69D">
      <w:pPr>
        <w:spacing w:after="120" w:line="480" w:lineRule="exact"/>
        <w:ind w:firstLine="420" w:firstLineChars="200"/>
        <w:outlineLvl w:val="0"/>
        <w:rPr>
          <w:rFonts w:ascii="宋体" w:hAnsi="宋体" w:cs="宋体"/>
          <w:color w:val="000000" w:themeColor="text1"/>
          <w:kern w:val="21"/>
          <w:szCs w:val="21"/>
          <w:highlight w:val="none"/>
          <w14:textFill>
            <w14:solidFill>
              <w14:schemeClr w14:val="tx1"/>
            </w14:solidFill>
          </w14:textFill>
        </w:rPr>
      </w:pPr>
      <w:bookmarkStart w:id="34" w:name="_Toc4510"/>
      <w:r>
        <w:rPr>
          <w:rFonts w:hint="eastAsia" w:ascii="宋体" w:hAnsi="宋体" w:cs="宋体"/>
          <w:color w:val="000000" w:themeColor="text1"/>
          <w:kern w:val="21"/>
          <w:szCs w:val="21"/>
          <w:highlight w:val="none"/>
          <w14:textFill>
            <w14:solidFill>
              <w14:schemeClr w14:val="tx1"/>
            </w14:solidFill>
          </w14:textFill>
        </w:rPr>
        <w:t>1.10 交通运输</w:t>
      </w:r>
      <w:bookmarkEnd w:id="34"/>
    </w:p>
    <w:p w14:paraId="289C8350">
      <w:pPr>
        <w:spacing w:line="480" w:lineRule="exact"/>
        <w:ind w:firstLine="420" w:firstLineChars="200"/>
        <w:outlineLvl w:val="0"/>
        <w:rPr>
          <w:rFonts w:ascii="宋体" w:hAnsi="宋体" w:cs="宋体"/>
          <w:color w:val="000000" w:themeColor="text1"/>
          <w:kern w:val="21"/>
          <w:szCs w:val="21"/>
          <w:highlight w:val="none"/>
          <w14:textFill>
            <w14:solidFill>
              <w14:schemeClr w14:val="tx1"/>
            </w14:solidFill>
          </w14:textFill>
        </w:rPr>
      </w:pPr>
      <w:bookmarkStart w:id="35" w:name="_Toc16334"/>
      <w:r>
        <w:rPr>
          <w:rFonts w:hint="eastAsia" w:ascii="宋体" w:hAnsi="宋体" w:cs="宋体"/>
          <w:color w:val="000000" w:themeColor="text1"/>
          <w:kern w:val="21"/>
          <w:szCs w:val="21"/>
          <w:highlight w:val="none"/>
          <w14:textFill>
            <w14:solidFill>
              <w14:schemeClr w14:val="tx1"/>
            </w14:solidFill>
          </w14:textFill>
        </w:rPr>
        <w:t>1</w:t>
      </w:r>
      <w:bookmarkStart w:id="36" w:name="_Toc303539100"/>
      <w:bookmarkStart w:id="37" w:name="_Toc300934943"/>
      <w:bookmarkStart w:id="38" w:name="_Toc312677986"/>
      <w:bookmarkStart w:id="39" w:name="_Toc318581155"/>
      <w:bookmarkStart w:id="40" w:name="_Toc304295521"/>
      <w:r>
        <w:rPr>
          <w:rFonts w:hint="eastAsia" w:ascii="宋体" w:hAnsi="宋体" w:cs="宋体"/>
          <w:color w:val="000000" w:themeColor="text1"/>
          <w:kern w:val="21"/>
          <w:szCs w:val="21"/>
          <w:highlight w:val="none"/>
          <w14:textFill>
            <w14:solidFill>
              <w14:schemeClr w14:val="tx1"/>
            </w14:solidFill>
          </w14:textFill>
        </w:rPr>
        <w:t>.10.1 出入现场的权利</w:t>
      </w:r>
      <w:bookmarkEnd w:id="35"/>
    </w:p>
    <w:p w14:paraId="082E1400">
      <w:pPr>
        <w:spacing w:line="48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关于出入现场的权利的约定：</w:t>
      </w:r>
      <w:r>
        <w:rPr>
          <w:rFonts w:hint="eastAsia" w:ascii="宋体" w:hAnsi="宋体" w:cs="宋体"/>
          <w:color w:val="000000" w:themeColor="text1"/>
          <w:kern w:val="21"/>
          <w:szCs w:val="21"/>
          <w:highlight w:val="none"/>
          <w:u w:val="single"/>
          <w14:textFill>
            <w14:solidFill>
              <w14:schemeClr w14:val="tx1"/>
            </w14:solidFill>
          </w14:textFill>
        </w:rPr>
        <w:t>/</w:t>
      </w:r>
      <w:r>
        <w:rPr>
          <w:rFonts w:hint="eastAsia" w:ascii="宋体" w:hAnsi="宋体" w:cs="宋体"/>
          <w:color w:val="000000" w:themeColor="text1"/>
          <w:kern w:val="21"/>
          <w:szCs w:val="21"/>
          <w:highlight w:val="none"/>
          <w14:textFill>
            <w14:solidFill>
              <w14:schemeClr w14:val="tx1"/>
            </w14:solidFill>
          </w14:textFill>
        </w:rPr>
        <w:t>。</w:t>
      </w:r>
    </w:p>
    <w:bookmarkEnd w:id="36"/>
    <w:bookmarkEnd w:id="37"/>
    <w:bookmarkEnd w:id="38"/>
    <w:bookmarkEnd w:id="39"/>
    <w:bookmarkEnd w:id="40"/>
    <w:p w14:paraId="660D7AA2">
      <w:pPr>
        <w:spacing w:line="480" w:lineRule="exact"/>
        <w:ind w:firstLine="420" w:firstLineChars="200"/>
        <w:jc w:val="left"/>
        <w:outlineLvl w:val="0"/>
        <w:rPr>
          <w:rFonts w:ascii="宋体" w:hAnsi="宋体" w:cs="宋体"/>
          <w:color w:val="000000" w:themeColor="text1"/>
          <w:kern w:val="21"/>
          <w:szCs w:val="21"/>
          <w:highlight w:val="none"/>
          <w14:textFill>
            <w14:solidFill>
              <w14:schemeClr w14:val="tx1"/>
            </w14:solidFill>
          </w14:textFill>
        </w:rPr>
      </w:pPr>
      <w:bookmarkStart w:id="41" w:name="_Toc29909"/>
      <w:r>
        <w:rPr>
          <w:rFonts w:hint="eastAsia" w:ascii="宋体" w:hAnsi="宋体" w:cs="宋体"/>
          <w:color w:val="000000" w:themeColor="text1"/>
          <w:kern w:val="21"/>
          <w:szCs w:val="21"/>
          <w:highlight w:val="none"/>
          <w14:textFill>
            <w14:solidFill>
              <w14:schemeClr w14:val="tx1"/>
            </w14:solidFill>
          </w14:textFill>
        </w:rPr>
        <w:t>1</w:t>
      </w:r>
      <w:bookmarkStart w:id="42" w:name="_Toc304295522"/>
      <w:bookmarkStart w:id="43" w:name="_Toc312677987"/>
      <w:bookmarkStart w:id="44" w:name="_Toc318581156"/>
      <w:bookmarkStart w:id="45" w:name="_Toc303539101"/>
      <w:bookmarkStart w:id="46" w:name="_Toc300934944"/>
      <w:r>
        <w:rPr>
          <w:rFonts w:hint="eastAsia" w:ascii="宋体" w:hAnsi="宋体" w:cs="宋体"/>
          <w:color w:val="000000" w:themeColor="text1"/>
          <w:kern w:val="21"/>
          <w:szCs w:val="21"/>
          <w:highlight w:val="none"/>
          <w14:textFill>
            <w14:solidFill>
              <w14:schemeClr w14:val="tx1"/>
            </w14:solidFill>
          </w14:textFill>
        </w:rPr>
        <w:t>.10.3 场内交通</w:t>
      </w:r>
      <w:bookmarkEnd w:id="41"/>
    </w:p>
    <w:p w14:paraId="406F6E6D">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关于场外交通和场内交通的边界的约定：</w:t>
      </w:r>
      <w:r>
        <w:rPr>
          <w:rFonts w:hint="eastAsia" w:ascii="宋体" w:hAnsi="宋体" w:cs="宋体"/>
          <w:color w:val="000000" w:themeColor="text1"/>
          <w:kern w:val="21"/>
          <w:szCs w:val="21"/>
          <w:highlight w:val="none"/>
          <w:u w:val="single"/>
          <w14:textFill>
            <w14:solidFill>
              <w14:schemeClr w14:val="tx1"/>
            </w14:solidFill>
          </w14:textFill>
        </w:rPr>
        <w:t>发包人确定的施工场地界面为准</w:t>
      </w:r>
      <w:r>
        <w:rPr>
          <w:rFonts w:hint="eastAsia" w:ascii="宋体" w:hAnsi="宋体" w:cs="宋体"/>
          <w:color w:val="000000" w:themeColor="text1"/>
          <w:kern w:val="21"/>
          <w:szCs w:val="21"/>
          <w:highlight w:val="none"/>
          <w14:textFill>
            <w14:solidFill>
              <w14:schemeClr w14:val="tx1"/>
            </w14:solidFill>
          </w14:textFill>
        </w:rPr>
        <w:t>。</w:t>
      </w:r>
    </w:p>
    <w:p w14:paraId="68BADC62">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关于发包人向承包人免费提供满足工程施工需要的场内道路和交通设施的约定：</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bookmarkEnd w:id="42"/>
      <w:bookmarkEnd w:id="43"/>
      <w:bookmarkEnd w:id="44"/>
      <w:bookmarkEnd w:id="45"/>
      <w:bookmarkEnd w:id="46"/>
      <w:r>
        <w:rPr>
          <w:rFonts w:hint="eastAsia" w:ascii="宋体" w:hAnsi="宋体" w:cs="宋体"/>
          <w:color w:val="000000" w:themeColor="text1"/>
          <w:kern w:val="21"/>
          <w:szCs w:val="21"/>
          <w:highlight w:val="none"/>
          <w14:textFill>
            <w14:solidFill>
              <w14:schemeClr w14:val="tx1"/>
            </w14:solidFill>
          </w14:textFill>
        </w:rPr>
        <w:t xml:space="preserve">  </w:t>
      </w:r>
      <w:bookmarkStart w:id="47" w:name="_Toc318581157"/>
    </w:p>
    <w:p w14:paraId="49310203">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1.10.4超大件和超重件的运输</w:t>
      </w:r>
    </w:p>
    <w:p w14:paraId="6B0294DE">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运输超大件或超重件所需的道路和桥梁临时加固改造费用和其他有关费用由</w:t>
      </w:r>
      <w:r>
        <w:rPr>
          <w:rFonts w:hint="eastAsia" w:ascii="宋体" w:hAnsi="宋体" w:cs="宋体"/>
          <w:color w:val="000000" w:themeColor="text1"/>
          <w:kern w:val="21"/>
          <w:szCs w:val="21"/>
          <w:highlight w:val="none"/>
          <w:u w:val="single"/>
          <w14:textFill>
            <w14:solidFill>
              <w14:schemeClr w14:val="tx1"/>
            </w14:solidFill>
          </w14:textFill>
        </w:rPr>
        <w:t xml:space="preserve">承包人 </w:t>
      </w:r>
      <w:r>
        <w:rPr>
          <w:rFonts w:hint="eastAsia" w:ascii="宋体" w:hAnsi="宋体" w:cs="宋体"/>
          <w:color w:val="000000" w:themeColor="text1"/>
          <w:kern w:val="21"/>
          <w:szCs w:val="21"/>
          <w:highlight w:val="none"/>
          <w14:textFill>
            <w14:solidFill>
              <w14:schemeClr w14:val="tx1"/>
            </w14:solidFill>
          </w14:textFill>
        </w:rPr>
        <w:t>承担。</w:t>
      </w:r>
    </w:p>
    <w:bookmarkEnd w:id="47"/>
    <w:p w14:paraId="5F51B17A">
      <w:pPr>
        <w:spacing w:after="120" w:line="480" w:lineRule="exact"/>
        <w:ind w:firstLine="420" w:firstLineChars="200"/>
        <w:outlineLvl w:val="0"/>
        <w:rPr>
          <w:rFonts w:ascii="宋体" w:hAnsi="宋体" w:cs="宋体"/>
          <w:color w:val="000000" w:themeColor="text1"/>
          <w:kern w:val="21"/>
          <w:szCs w:val="21"/>
          <w:highlight w:val="none"/>
          <w14:textFill>
            <w14:solidFill>
              <w14:schemeClr w14:val="tx1"/>
            </w14:solidFill>
          </w14:textFill>
        </w:rPr>
      </w:pPr>
      <w:bookmarkStart w:id="48" w:name="_Toc29798"/>
      <w:r>
        <w:rPr>
          <w:rFonts w:hint="eastAsia" w:ascii="宋体" w:hAnsi="宋体" w:cs="宋体"/>
          <w:color w:val="000000" w:themeColor="text1"/>
          <w:kern w:val="21"/>
          <w:szCs w:val="21"/>
          <w:highlight w:val="none"/>
          <w14:textFill>
            <w14:solidFill>
              <w14:schemeClr w14:val="tx1"/>
            </w14:solidFill>
          </w14:textFill>
        </w:rPr>
        <w:t>1.11 知识产权</w:t>
      </w:r>
      <w:bookmarkEnd w:id="48"/>
    </w:p>
    <w:p w14:paraId="3B68A695">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color w:val="000000" w:themeColor="text1"/>
          <w:kern w:val="21"/>
          <w:szCs w:val="21"/>
          <w:highlight w:val="none"/>
          <w:u w:val="single"/>
          <w14:textFill>
            <w14:solidFill>
              <w14:schemeClr w14:val="tx1"/>
            </w14:solidFill>
          </w14:textFill>
        </w:rPr>
        <w:t xml:space="preserve">发包人 </w:t>
      </w:r>
      <w:r>
        <w:rPr>
          <w:rFonts w:hint="eastAsia" w:ascii="宋体" w:hAnsi="宋体" w:cs="宋体"/>
          <w:color w:val="000000" w:themeColor="text1"/>
          <w:kern w:val="21"/>
          <w:szCs w:val="21"/>
          <w:highlight w:val="none"/>
          <w14:textFill>
            <w14:solidFill>
              <w14:schemeClr w14:val="tx1"/>
            </w14:solidFill>
          </w14:textFill>
        </w:rPr>
        <w:t>。</w:t>
      </w:r>
    </w:p>
    <w:p w14:paraId="3B7D084B">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关于发包人提供的上述文件的使用限制的要求：</w:t>
      </w:r>
      <w:r>
        <w:rPr>
          <w:rFonts w:hint="eastAsia" w:ascii="宋体" w:hAnsi="宋体" w:cs="宋体"/>
          <w:color w:val="000000" w:themeColor="text1"/>
          <w:kern w:val="21"/>
          <w:szCs w:val="21"/>
          <w:highlight w:val="none"/>
          <w:u w:val="single"/>
          <w14:textFill>
            <w14:solidFill>
              <w14:schemeClr w14:val="tx1"/>
            </w14:solidFill>
          </w14:textFill>
        </w:rPr>
        <w:t>至工程竣工验收之日</w:t>
      </w:r>
      <w:r>
        <w:rPr>
          <w:rFonts w:hint="eastAsia" w:ascii="宋体" w:hAnsi="宋体" w:cs="宋体"/>
          <w:color w:val="000000" w:themeColor="text1"/>
          <w:kern w:val="21"/>
          <w:szCs w:val="21"/>
          <w:highlight w:val="none"/>
          <w14:textFill>
            <w14:solidFill>
              <w14:schemeClr w14:val="tx1"/>
            </w14:solidFill>
          </w14:textFill>
        </w:rPr>
        <w:t>。</w:t>
      </w:r>
    </w:p>
    <w:p w14:paraId="7622F3CB">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1.11.2 关于承包人为实施工程所编制文件的著作权的归属：</w:t>
      </w:r>
      <w:r>
        <w:rPr>
          <w:rFonts w:hint="eastAsia" w:ascii="宋体" w:hAnsi="宋体" w:cs="宋体"/>
          <w:color w:val="000000" w:themeColor="text1"/>
          <w:kern w:val="21"/>
          <w:szCs w:val="21"/>
          <w:highlight w:val="none"/>
          <w:u w:val="single"/>
          <w14:textFill>
            <w14:solidFill>
              <w14:schemeClr w14:val="tx1"/>
            </w14:solidFill>
          </w14:textFill>
        </w:rPr>
        <w:t xml:space="preserve">承包人 </w:t>
      </w:r>
      <w:r>
        <w:rPr>
          <w:rFonts w:hint="eastAsia" w:ascii="宋体" w:hAnsi="宋体" w:cs="宋体"/>
          <w:color w:val="000000" w:themeColor="text1"/>
          <w:kern w:val="21"/>
          <w:szCs w:val="21"/>
          <w:highlight w:val="none"/>
          <w14:textFill>
            <w14:solidFill>
              <w14:schemeClr w14:val="tx1"/>
            </w14:solidFill>
          </w14:textFill>
        </w:rPr>
        <w:t>。</w:t>
      </w:r>
    </w:p>
    <w:p w14:paraId="16C65D7F">
      <w:pPr>
        <w:spacing w:line="48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关于承包人提供的上述文件的使用限制的要求：</w:t>
      </w:r>
      <w:r>
        <w:rPr>
          <w:rFonts w:hint="eastAsia" w:ascii="宋体" w:hAnsi="宋体" w:cs="宋体"/>
          <w:color w:val="000000" w:themeColor="text1"/>
          <w:kern w:val="21"/>
          <w:szCs w:val="21"/>
          <w:highlight w:val="none"/>
          <w:u w:val="single"/>
          <w14:textFill>
            <w14:solidFill>
              <w14:schemeClr w14:val="tx1"/>
            </w14:solidFill>
          </w14:textFill>
        </w:rPr>
        <w:t xml:space="preserve">至工程竣工验收结算后  </w:t>
      </w:r>
      <w:r>
        <w:rPr>
          <w:rFonts w:hint="eastAsia" w:ascii="宋体" w:hAnsi="宋体" w:cs="宋体"/>
          <w:color w:val="000000" w:themeColor="text1"/>
          <w:kern w:val="21"/>
          <w:szCs w:val="21"/>
          <w:highlight w:val="none"/>
          <w14:textFill>
            <w14:solidFill>
              <w14:schemeClr w14:val="tx1"/>
            </w14:solidFill>
          </w14:textFill>
        </w:rPr>
        <w:t>。</w:t>
      </w:r>
    </w:p>
    <w:p w14:paraId="4787EEA1">
      <w:pPr>
        <w:spacing w:line="480" w:lineRule="exact"/>
        <w:ind w:firstLine="420" w:firstLineChars="200"/>
        <w:outlineLvl w:val="0"/>
        <w:rPr>
          <w:rFonts w:ascii="宋体" w:hAnsi="宋体" w:cs="宋体"/>
          <w:color w:val="000000" w:themeColor="text1"/>
          <w:kern w:val="21"/>
          <w:szCs w:val="21"/>
          <w:highlight w:val="none"/>
          <w14:textFill>
            <w14:solidFill>
              <w14:schemeClr w14:val="tx1"/>
            </w14:solidFill>
          </w14:textFill>
        </w:rPr>
      </w:pPr>
      <w:bookmarkStart w:id="49" w:name="_Toc16754"/>
      <w:r>
        <w:rPr>
          <w:rFonts w:hint="eastAsia" w:ascii="宋体" w:hAnsi="宋体" w:cs="宋体"/>
          <w:color w:val="000000" w:themeColor="text1"/>
          <w:kern w:val="21"/>
          <w:szCs w:val="21"/>
          <w:highlight w:val="none"/>
          <w14:textFill>
            <w14:solidFill>
              <w14:schemeClr w14:val="tx1"/>
            </w14:solidFill>
          </w14:textFill>
        </w:rPr>
        <w:t>1.11.4 承包人在施工过程中所采用的专利、专有技术、技术秘密的使用费的承担方式：</w:t>
      </w:r>
      <w:r>
        <w:rPr>
          <w:rFonts w:hint="eastAsia" w:ascii="宋体" w:hAnsi="宋体" w:cs="宋体"/>
          <w:color w:val="000000" w:themeColor="text1"/>
          <w:kern w:val="21"/>
          <w:szCs w:val="21"/>
          <w:highlight w:val="none"/>
          <w:u w:val="single"/>
          <w14:textFill>
            <w14:solidFill>
              <w14:schemeClr w14:val="tx1"/>
            </w14:solidFill>
          </w14:textFill>
        </w:rPr>
        <w:t xml:space="preserve">自行承担 </w:t>
      </w:r>
      <w:r>
        <w:rPr>
          <w:rFonts w:hint="eastAsia" w:ascii="宋体" w:hAnsi="宋体" w:cs="宋体"/>
          <w:color w:val="000000" w:themeColor="text1"/>
          <w:kern w:val="21"/>
          <w:szCs w:val="21"/>
          <w:highlight w:val="none"/>
          <w14:textFill>
            <w14:solidFill>
              <w14:schemeClr w14:val="tx1"/>
            </w14:solidFill>
          </w14:textFill>
        </w:rPr>
        <w:t>。</w:t>
      </w:r>
      <w:bookmarkEnd w:id="49"/>
    </w:p>
    <w:p w14:paraId="7249F562">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1.13工程量清单错误的修正</w:t>
      </w:r>
    </w:p>
    <w:p w14:paraId="45F0918A">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出现工程量清单错误时，是否调整合同价格：</w:t>
      </w:r>
      <w:r>
        <w:rPr>
          <w:rFonts w:hint="eastAsia" w:ascii="宋体" w:hAnsi="宋体" w:cs="宋体"/>
          <w:color w:val="000000" w:themeColor="text1"/>
          <w:kern w:val="21"/>
          <w:szCs w:val="21"/>
          <w:highlight w:val="none"/>
          <w:u w:val="single"/>
          <w14:textFill>
            <w14:solidFill>
              <w14:schemeClr w14:val="tx1"/>
            </w14:solidFill>
          </w14:textFill>
        </w:rPr>
        <w:t>清单描述不符、工程量计算错误、综合单价偏差较大的情况下调整</w:t>
      </w:r>
      <w:r>
        <w:rPr>
          <w:rFonts w:hint="eastAsia" w:ascii="宋体" w:hAnsi="宋体" w:cs="宋体"/>
          <w:color w:val="000000" w:themeColor="text1"/>
          <w:kern w:val="21"/>
          <w:szCs w:val="21"/>
          <w:highlight w:val="none"/>
          <w14:textFill>
            <w14:solidFill>
              <w14:schemeClr w14:val="tx1"/>
            </w14:solidFill>
          </w14:textFill>
        </w:rPr>
        <w:t>。</w:t>
      </w:r>
    </w:p>
    <w:p w14:paraId="64584497">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允许调整合同价格的工程量偏差范围：</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p>
    <w:p w14:paraId="788D244E">
      <w:pPr>
        <w:spacing w:line="480" w:lineRule="exact"/>
        <w:ind w:right="-50" w:rightChars="-24"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除专用合同条款另有约定外，发包人提供的工程量清单，应被认为是准确的和完整的。出现下列情形之一时，发包人应予以修正，并相应调整合同价格：</w:t>
      </w:r>
    </w:p>
    <w:p w14:paraId="7D9363B6">
      <w:pPr>
        <w:spacing w:line="480" w:lineRule="exact"/>
        <w:ind w:right="-50" w:rightChars="-24"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（1）工程量清单存在缺项、漏项的；</w:t>
      </w:r>
    </w:p>
    <w:p w14:paraId="23DB78A7">
      <w:pPr>
        <w:spacing w:line="480" w:lineRule="exact"/>
        <w:ind w:right="-50" w:rightChars="-24"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（2）工程量清单偏差超出专用合同条款约定的工程量偏差范围的；</w:t>
      </w:r>
    </w:p>
    <w:p w14:paraId="4215A64C">
      <w:pPr>
        <w:spacing w:line="480" w:lineRule="exact"/>
        <w:ind w:right="-50" w:rightChars="-24"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（3）未按照国家现行计量规范强制性规定计量的。</w:t>
      </w:r>
    </w:p>
    <w:p w14:paraId="377BBA22">
      <w:pPr>
        <w:pStyle w:val="4"/>
        <w:tabs>
          <w:tab w:val="left" w:pos="864"/>
        </w:tabs>
        <w:spacing w:before="120" w:after="120" w:line="480" w:lineRule="exact"/>
        <w:textAlignment w:val="auto"/>
        <w:rPr>
          <w:rFonts w:ascii="宋体" w:hAnsi="宋体" w:cs="宋体"/>
          <w:b w:val="0"/>
          <w:color w:val="000000" w:themeColor="text1"/>
          <w:kern w:val="21"/>
          <w:sz w:val="21"/>
          <w:szCs w:val="21"/>
          <w:highlight w:val="none"/>
          <w14:textFill>
            <w14:solidFill>
              <w14:schemeClr w14:val="tx1"/>
            </w14:solidFill>
          </w14:textFill>
        </w:rPr>
      </w:pPr>
      <w:bookmarkStart w:id="50" w:name="_Toc351203634"/>
      <w:r>
        <w:rPr>
          <w:rFonts w:hint="eastAsia" w:ascii="宋体" w:hAnsi="宋体" w:cs="宋体"/>
          <w:b w:val="0"/>
          <w:color w:val="000000" w:themeColor="text1"/>
          <w:kern w:val="21"/>
          <w:sz w:val="21"/>
          <w:szCs w:val="21"/>
          <w:highlight w:val="none"/>
          <w14:textFill>
            <w14:solidFill>
              <w14:schemeClr w14:val="tx1"/>
            </w14:solidFill>
          </w14:textFill>
        </w:rPr>
        <w:t>2</w:t>
      </w:r>
      <w:bookmarkStart w:id="51" w:name="_Toc296347156"/>
      <w:bookmarkStart w:id="52" w:name="_Toc296503157"/>
      <w:bookmarkStart w:id="53" w:name="_Toc296891197"/>
      <w:bookmarkStart w:id="54" w:name="_Toc297120457"/>
      <w:bookmarkStart w:id="55" w:name="_Toc296346658"/>
      <w:bookmarkStart w:id="56" w:name="_Toc296944496"/>
      <w:bookmarkStart w:id="57" w:name="_Toc296890985"/>
      <w:bookmarkStart w:id="58" w:name="_Toc297048343"/>
      <w:bookmarkStart w:id="59" w:name="_Toc292559362"/>
      <w:bookmarkStart w:id="60" w:name="_Toc292559867"/>
      <w:r>
        <w:rPr>
          <w:rFonts w:hint="eastAsia" w:ascii="宋体" w:hAnsi="宋体" w:cs="宋体"/>
          <w:b w:val="0"/>
          <w:color w:val="000000" w:themeColor="text1"/>
          <w:kern w:val="21"/>
          <w:sz w:val="21"/>
          <w:szCs w:val="21"/>
          <w:highlight w:val="none"/>
          <w14:textFill>
            <w14:solidFill>
              <w14:schemeClr w14:val="tx1"/>
            </w14:solidFill>
          </w14:textFill>
        </w:rPr>
        <w:t>. 发包人</w:t>
      </w:r>
      <w:bookmarkEnd w:id="50"/>
    </w:p>
    <w:bookmarkEnd w:id="51"/>
    <w:bookmarkEnd w:id="52"/>
    <w:bookmarkEnd w:id="53"/>
    <w:bookmarkEnd w:id="54"/>
    <w:bookmarkEnd w:id="55"/>
    <w:bookmarkEnd w:id="56"/>
    <w:bookmarkEnd w:id="57"/>
    <w:bookmarkEnd w:id="58"/>
    <w:bookmarkEnd w:id="59"/>
    <w:bookmarkEnd w:id="60"/>
    <w:p w14:paraId="3C9AC9AA">
      <w:pPr>
        <w:spacing w:after="120" w:line="480" w:lineRule="exact"/>
        <w:ind w:firstLine="420" w:firstLineChars="200"/>
        <w:outlineLvl w:val="0"/>
        <w:rPr>
          <w:rFonts w:ascii="宋体" w:hAnsi="宋体" w:cs="宋体"/>
          <w:color w:val="000000" w:themeColor="text1"/>
          <w:kern w:val="21"/>
          <w:szCs w:val="21"/>
          <w:highlight w:val="none"/>
          <w14:textFill>
            <w14:solidFill>
              <w14:schemeClr w14:val="tx1"/>
            </w14:solidFill>
          </w14:textFill>
        </w:rPr>
      </w:pPr>
      <w:bookmarkStart w:id="61" w:name="_Toc16389"/>
      <w:r>
        <w:rPr>
          <w:rFonts w:hint="eastAsia" w:ascii="宋体" w:hAnsi="宋体" w:cs="宋体"/>
          <w:color w:val="000000" w:themeColor="text1"/>
          <w:kern w:val="21"/>
          <w:szCs w:val="21"/>
          <w:highlight w:val="none"/>
          <w14:textFill>
            <w14:solidFill>
              <w14:schemeClr w14:val="tx1"/>
            </w14:solidFill>
          </w14:textFill>
        </w:rPr>
        <w:t>2.2 发包人代表</w:t>
      </w:r>
      <w:bookmarkEnd w:id="61"/>
    </w:p>
    <w:p w14:paraId="2ED49B6E">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发包人代表：</w:t>
      </w:r>
    </w:p>
    <w:p w14:paraId="64A34BC7">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姓    名：</w:t>
      </w:r>
      <w:r>
        <w:rPr>
          <w:rFonts w:hint="eastAsia" w:ascii="宋体" w:hAnsi="宋体" w:cs="宋体"/>
          <w:color w:val="000000" w:themeColor="text1"/>
          <w:kern w:val="21"/>
          <w:szCs w:val="21"/>
          <w:highlight w:val="none"/>
          <w:u w:val="single"/>
          <w14:textFill>
            <w14:solidFill>
              <w14:schemeClr w14:val="tx1"/>
            </w14:solidFill>
          </w14:textFill>
        </w:rPr>
        <w:t>     </w:t>
      </w:r>
      <w:r>
        <w:rPr>
          <w:rFonts w:hint="eastAsia" w:ascii="宋体" w:hAnsi="宋体" w:cs="宋体"/>
          <w:color w:val="000000" w:themeColor="text1"/>
          <w:kern w:val="21"/>
          <w:szCs w:val="21"/>
          <w:highlight w:val="none"/>
          <w14:textFill>
            <w14:solidFill>
              <w14:schemeClr w14:val="tx1"/>
            </w14:solidFill>
          </w14:textFill>
        </w:rPr>
        <w:t>；</w:t>
      </w:r>
    </w:p>
    <w:p w14:paraId="19E232CE">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身份证号：</w:t>
      </w:r>
      <w:r>
        <w:rPr>
          <w:rFonts w:hint="eastAsia" w:ascii="宋体" w:hAnsi="宋体" w:cs="宋体"/>
          <w:color w:val="000000" w:themeColor="text1"/>
          <w:kern w:val="21"/>
          <w:szCs w:val="21"/>
          <w:highlight w:val="none"/>
          <w:u w:val="single"/>
          <w14:textFill>
            <w14:solidFill>
              <w14:schemeClr w14:val="tx1"/>
            </w14:solidFill>
          </w14:textFill>
        </w:rPr>
        <w:t>      </w:t>
      </w:r>
      <w:r>
        <w:rPr>
          <w:rFonts w:hint="eastAsia" w:ascii="宋体" w:hAnsi="宋体" w:cs="宋体"/>
          <w:color w:val="000000" w:themeColor="text1"/>
          <w:kern w:val="21"/>
          <w:szCs w:val="21"/>
          <w:highlight w:val="none"/>
          <w14:textFill>
            <w14:solidFill>
              <w14:schemeClr w14:val="tx1"/>
            </w14:solidFill>
          </w14:textFill>
        </w:rPr>
        <w:t>；</w:t>
      </w:r>
    </w:p>
    <w:p w14:paraId="447D41C7">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职    务：</w:t>
      </w:r>
      <w:r>
        <w:rPr>
          <w:rFonts w:hint="eastAsia" w:ascii="宋体" w:hAnsi="宋体" w:cs="宋体"/>
          <w:color w:val="000000" w:themeColor="text1"/>
          <w:kern w:val="21"/>
          <w:szCs w:val="21"/>
          <w:highlight w:val="none"/>
          <w:u w:val="single"/>
          <w14:textFill>
            <w14:solidFill>
              <w14:schemeClr w14:val="tx1"/>
            </w14:solidFill>
          </w14:textFill>
        </w:rPr>
        <w:t>    </w:t>
      </w:r>
      <w:r>
        <w:rPr>
          <w:rFonts w:hint="eastAsia" w:ascii="宋体" w:hAnsi="宋体" w:cs="宋体"/>
          <w:color w:val="000000" w:themeColor="text1"/>
          <w:kern w:val="21"/>
          <w:szCs w:val="21"/>
          <w:highlight w:val="none"/>
          <w14:textFill>
            <w14:solidFill>
              <w14:schemeClr w14:val="tx1"/>
            </w14:solidFill>
          </w14:textFill>
        </w:rPr>
        <w:t>；</w:t>
      </w:r>
    </w:p>
    <w:p w14:paraId="1664E7CB">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联系电话：</w:t>
      </w:r>
      <w:r>
        <w:rPr>
          <w:rFonts w:hint="eastAsia" w:ascii="宋体" w:hAnsi="宋体" w:cs="宋体"/>
          <w:color w:val="000000" w:themeColor="text1"/>
          <w:kern w:val="21"/>
          <w:szCs w:val="21"/>
          <w:highlight w:val="none"/>
          <w:u w:val="single"/>
          <w14:textFill>
            <w14:solidFill>
              <w14:schemeClr w14:val="tx1"/>
            </w14:solidFill>
          </w14:textFill>
        </w:rPr>
        <w:t>     </w:t>
      </w:r>
      <w:r>
        <w:rPr>
          <w:rFonts w:hint="eastAsia" w:ascii="宋体" w:hAnsi="宋体" w:cs="宋体"/>
          <w:color w:val="000000" w:themeColor="text1"/>
          <w:kern w:val="21"/>
          <w:szCs w:val="21"/>
          <w:highlight w:val="none"/>
          <w14:textFill>
            <w14:solidFill>
              <w14:schemeClr w14:val="tx1"/>
            </w14:solidFill>
          </w14:textFill>
        </w:rPr>
        <w:t>；</w:t>
      </w:r>
    </w:p>
    <w:p w14:paraId="78C88845">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电子信箱：</w:t>
      </w:r>
      <w:r>
        <w:rPr>
          <w:rFonts w:hint="eastAsia" w:ascii="宋体" w:hAnsi="宋体" w:cs="宋体"/>
          <w:color w:val="000000" w:themeColor="text1"/>
          <w:kern w:val="21"/>
          <w:szCs w:val="21"/>
          <w:highlight w:val="none"/>
          <w:u w:val="single"/>
          <w14:textFill>
            <w14:solidFill>
              <w14:schemeClr w14:val="tx1"/>
            </w14:solidFill>
          </w14:textFill>
        </w:rPr>
        <w:t>     </w:t>
      </w:r>
      <w:r>
        <w:rPr>
          <w:rFonts w:hint="eastAsia" w:ascii="宋体" w:hAnsi="宋体" w:cs="宋体"/>
          <w:color w:val="000000" w:themeColor="text1"/>
          <w:kern w:val="21"/>
          <w:szCs w:val="21"/>
          <w:highlight w:val="none"/>
          <w14:textFill>
            <w14:solidFill>
              <w14:schemeClr w14:val="tx1"/>
            </w14:solidFill>
          </w14:textFill>
        </w:rPr>
        <w:t>；</w:t>
      </w:r>
    </w:p>
    <w:p w14:paraId="58C1DDDE">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通信地址：</w:t>
      </w:r>
      <w:r>
        <w:rPr>
          <w:rFonts w:hint="eastAsia" w:ascii="宋体" w:hAnsi="宋体" w:cs="宋体"/>
          <w:color w:val="000000" w:themeColor="text1"/>
          <w:kern w:val="21"/>
          <w:szCs w:val="21"/>
          <w:highlight w:val="none"/>
          <w:u w:val="single"/>
          <w14:textFill>
            <w14:solidFill>
              <w14:schemeClr w14:val="tx1"/>
            </w14:solidFill>
          </w14:textFill>
        </w:rPr>
        <w:t>    </w:t>
      </w:r>
      <w:r>
        <w:rPr>
          <w:rFonts w:hint="eastAsia" w:ascii="宋体" w:hAnsi="宋体" w:cs="宋体"/>
          <w:color w:val="000000" w:themeColor="text1"/>
          <w:kern w:val="21"/>
          <w:szCs w:val="21"/>
          <w:highlight w:val="none"/>
          <w14:textFill>
            <w14:solidFill>
              <w14:schemeClr w14:val="tx1"/>
            </w14:solidFill>
          </w14:textFill>
        </w:rPr>
        <w:t>。</w:t>
      </w:r>
    </w:p>
    <w:p w14:paraId="5F3EC859">
      <w:pPr>
        <w:spacing w:line="480" w:lineRule="exact"/>
        <w:ind w:firstLine="420" w:firstLineChars="200"/>
        <w:rPr>
          <w:rFonts w:ascii="宋体" w:hAnsi="宋体" w:cs="宋体"/>
          <w:b/>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发包人对发包人代表的授权范围如下：</w:t>
      </w:r>
      <w:r>
        <w:rPr>
          <w:rFonts w:hint="eastAsia" w:ascii="宋体" w:hAnsi="宋体" w:cs="宋体"/>
          <w:color w:val="000000" w:themeColor="text1"/>
          <w:kern w:val="21"/>
          <w:szCs w:val="21"/>
          <w:highlight w:val="none"/>
          <w:u w:val="single"/>
          <w14:textFill>
            <w14:solidFill>
              <w14:schemeClr w14:val="tx1"/>
            </w14:solidFill>
          </w14:textFill>
        </w:rPr>
        <w:t>督促指导监理工程师行使职权，协调施工现场各方面的关系，协调工程质量、进度和安全文明施工中存在的问题，解决有关设计和技术签证，办理、签认现场经济技术签证，审核工程进度报表</w:t>
      </w:r>
      <w:r>
        <w:rPr>
          <w:rFonts w:hint="eastAsia" w:ascii="宋体" w:hAnsi="宋体" w:cs="宋体"/>
          <w:color w:val="000000" w:themeColor="text1"/>
          <w:kern w:val="21"/>
          <w:szCs w:val="21"/>
          <w:highlight w:val="none"/>
          <w14:textFill>
            <w14:solidFill>
              <w14:schemeClr w14:val="tx1"/>
            </w14:solidFill>
          </w14:textFill>
        </w:rPr>
        <w:t>。</w:t>
      </w:r>
    </w:p>
    <w:p w14:paraId="5D5031B0">
      <w:pPr>
        <w:spacing w:after="120" w:line="480" w:lineRule="exact"/>
        <w:ind w:firstLine="420" w:firstLineChars="200"/>
        <w:outlineLvl w:val="0"/>
        <w:rPr>
          <w:rFonts w:ascii="宋体" w:hAnsi="宋体" w:cs="宋体"/>
          <w:color w:val="000000" w:themeColor="text1"/>
          <w:kern w:val="21"/>
          <w:szCs w:val="21"/>
          <w:highlight w:val="none"/>
          <w14:textFill>
            <w14:solidFill>
              <w14:schemeClr w14:val="tx1"/>
            </w14:solidFill>
          </w14:textFill>
        </w:rPr>
      </w:pPr>
      <w:bookmarkStart w:id="62" w:name="_Toc30805"/>
      <w:r>
        <w:rPr>
          <w:rFonts w:hint="eastAsia" w:ascii="宋体" w:hAnsi="宋体" w:cs="宋体"/>
          <w:color w:val="000000" w:themeColor="text1"/>
          <w:kern w:val="21"/>
          <w:szCs w:val="21"/>
          <w:highlight w:val="none"/>
          <w14:textFill>
            <w14:solidFill>
              <w14:schemeClr w14:val="tx1"/>
            </w14:solidFill>
          </w14:textFill>
        </w:rPr>
        <w:t>2.4 施工现场、施工条件和基础资料的提供</w:t>
      </w:r>
      <w:bookmarkEnd w:id="62"/>
    </w:p>
    <w:p w14:paraId="0F3269CA">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2.4.1 提供施工现场</w:t>
      </w:r>
    </w:p>
    <w:p w14:paraId="1CEA9201">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关于发包人移交施工现场的期限要求:</w:t>
      </w:r>
      <w:r>
        <w:rPr>
          <w:rFonts w:hint="eastAsia" w:ascii="宋体" w:hAnsi="宋体" w:cs="宋体"/>
          <w:color w:val="000000" w:themeColor="text1"/>
          <w:kern w:val="21"/>
          <w:szCs w:val="21"/>
          <w:highlight w:val="none"/>
          <w:u w:val="single"/>
          <w14:textFill>
            <w14:solidFill>
              <w14:schemeClr w14:val="tx1"/>
            </w14:solidFill>
          </w14:textFill>
        </w:rPr>
        <w:t>提前7天，满足工程开工条件</w:t>
      </w:r>
      <w:r>
        <w:rPr>
          <w:rFonts w:hint="eastAsia" w:ascii="宋体" w:hAnsi="宋体" w:cs="宋体"/>
          <w:color w:val="000000" w:themeColor="text1"/>
          <w:kern w:val="21"/>
          <w:szCs w:val="21"/>
          <w:highlight w:val="none"/>
          <w14:textFill>
            <w14:solidFill>
              <w14:schemeClr w14:val="tx1"/>
            </w14:solidFill>
          </w14:textFill>
        </w:rPr>
        <w:t>。</w:t>
      </w:r>
    </w:p>
    <w:p w14:paraId="2826C725">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2.4.2 提供施工条件</w:t>
      </w:r>
    </w:p>
    <w:p w14:paraId="01637EFB">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关于发包人应负责提供施工所需要的条件，包括：</w:t>
      </w:r>
    </w:p>
    <w:p w14:paraId="798C98B7">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w:t>
      </w:r>
      <w:r>
        <w:rPr>
          <w:rFonts w:hint="eastAsia" w:ascii="宋体" w:hAnsi="宋体" w:cs="宋体"/>
          <w:color w:val="000000" w:themeColor="text1"/>
          <w:kern w:val="21"/>
          <w:szCs w:val="21"/>
          <w:highlight w:val="none"/>
          <w:u w:val="single"/>
          <w14:textFill>
            <w14:solidFill>
              <w14:schemeClr w14:val="tx1"/>
            </w14:solidFill>
          </w14:textFill>
        </w:rPr>
        <w:t>发包人指定水源（在现场）、电源位置，承包人负责从发包人指定水源、电源位置接至工地现场，承包人自备水、电表、水电管线（由发包人组织承包人现场勘察，具体管线长度由承包人自行考虑），所有费用自理，发生的水电费用由承包人按表计量缴纳</w:t>
      </w:r>
      <w:r>
        <w:rPr>
          <w:rFonts w:hint="eastAsia" w:ascii="宋体" w:hAnsi="宋体" w:cs="宋体"/>
          <w:color w:val="000000" w:themeColor="text1"/>
          <w:kern w:val="21"/>
          <w:szCs w:val="21"/>
          <w:highlight w:val="none"/>
          <w14:textFill>
            <w14:solidFill>
              <w14:schemeClr w14:val="tx1"/>
            </w14:solidFill>
          </w14:textFill>
        </w:rPr>
        <w:t>。</w:t>
      </w:r>
    </w:p>
    <w:p w14:paraId="5F56FCBF">
      <w:pPr>
        <w:spacing w:line="480" w:lineRule="exact"/>
        <w:ind w:right="-50" w:rightChars="-24" w:firstLine="420" w:firstLineChars="200"/>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（2）施工场地与公共道路的通道开通时间和要求：</w:t>
      </w:r>
      <w:r>
        <w:rPr>
          <w:rFonts w:hint="eastAsia" w:ascii="宋体" w:hAnsi="宋体" w:cs="宋体"/>
          <w:color w:val="000000" w:themeColor="text1"/>
          <w:kern w:val="21"/>
          <w:szCs w:val="21"/>
          <w:highlight w:val="none"/>
          <w:u w:val="single"/>
          <w14:textFill>
            <w14:solidFill>
              <w14:schemeClr w14:val="tx1"/>
            </w14:solidFill>
          </w14:textFill>
        </w:rPr>
        <w:t>开工前完成施工现场平整，且保证开通通道</w:t>
      </w:r>
      <w:r>
        <w:rPr>
          <w:rFonts w:hint="eastAsia" w:ascii="宋体" w:hAnsi="宋体" w:cs="宋体"/>
          <w:color w:val="000000" w:themeColor="text1"/>
          <w:kern w:val="21"/>
          <w:szCs w:val="21"/>
          <w:highlight w:val="none"/>
          <w14:textFill>
            <w14:solidFill>
              <w14:schemeClr w14:val="tx1"/>
            </w14:solidFill>
          </w14:textFill>
        </w:rPr>
        <w:t>。</w:t>
      </w:r>
    </w:p>
    <w:p w14:paraId="5E053F24">
      <w:pPr>
        <w:spacing w:line="480" w:lineRule="exact"/>
        <w:ind w:right="-50" w:rightChars="-24"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（3）工程地质和地下管线资料的提供时间：</w:t>
      </w:r>
      <w:r>
        <w:rPr>
          <w:rFonts w:hint="eastAsia" w:ascii="宋体" w:hAnsi="宋体" w:cs="宋体"/>
          <w:color w:val="000000" w:themeColor="text1"/>
          <w:kern w:val="21"/>
          <w:szCs w:val="21"/>
          <w:highlight w:val="none"/>
          <w:u w:val="single"/>
          <w14:textFill>
            <w14:solidFill>
              <w14:schemeClr w14:val="tx1"/>
            </w14:solidFill>
          </w14:textFill>
        </w:rPr>
        <w:t>开工前书面提供</w:t>
      </w:r>
      <w:r>
        <w:rPr>
          <w:rFonts w:hint="eastAsia" w:ascii="宋体" w:hAnsi="宋体" w:cs="宋体"/>
          <w:color w:val="000000" w:themeColor="text1"/>
          <w:kern w:val="21"/>
          <w:szCs w:val="21"/>
          <w:highlight w:val="none"/>
          <w14:textFill>
            <w14:solidFill>
              <w14:schemeClr w14:val="tx1"/>
            </w14:solidFill>
          </w14:textFill>
        </w:rPr>
        <w:t>。</w:t>
      </w:r>
    </w:p>
    <w:p w14:paraId="5ACD4F56">
      <w:pPr>
        <w:spacing w:line="480" w:lineRule="exact"/>
        <w:ind w:right="-50" w:rightChars="-24" w:firstLine="420" w:firstLineChars="200"/>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（4）施工所需证件、批件：</w:t>
      </w:r>
      <w:r>
        <w:rPr>
          <w:rFonts w:hint="eastAsia" w:ascii="宋体" w:hAnsi="宋体" w:cs="宋体"/>
          <w:color w:val="000000" w:themeColor="text1"/>
          <w:kern w:val="21"/>
          <w:szCs w:val="21"/>
          <w:highlight w:val="none"/>
          <w:u w:val="single"/>
          <w14:textFill>
            <w14:solidFill>
              <w14:schemeClr w14:val="tx1"/>
            </w14:solidFill>
          </w14:textFill>
        </w:rPr>
        <w:t>开工前向有关部门办理施工所需证件、批件或临时用地及占道申报批准手续</w:t>
      </w:r>
      <w:r>
        <w:rPr>
          <w:rFonts w:hint="eastAsia" w:ascii="宋体" w:hAnsi="宋体" w:cs="宋体"/>
          <w:color w:val="000000" w:themeColor="text1"/>
          <w:kern w:val="21"/>
          <w:szCs w:val="21"/>
          <w:highlight w:val="none"/>
          <w14:textFill>
            <w14:solidFill>
              <w14:schemeClr w14:val="tx1"/>
            </w14:solidFill>
          </w14:textFill>
        </w:rPr>
        <w:t>。</w:t>
      </w:r>
    </w:p>
    <w:p w14:paraId="1F70206D">
      <w:pPr>
        <w:spacing w:line="480" w:lineRule="exact"/>
        <w:ind w:right="-50" w:rightChars="-24"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（5）水准点与座标控制点交验要求：</w:t>
      </w:r>
      <w:r>
        <w:rPr>
          <w:rFonts w:hint="eastAsia" w:ascii="宋体" w:hAnsi="宋体" w:cs="宋体"/>
          <w:color w:val="000000" w:themeColor="text1"/>
          <w:kern w:val="21"/>
          <w:szCs w:val="21"/>
          <w:highlight w:val="none"/>
          <w:u w:val="single"/>
          <w14:textFill>
            <w14:solidFill>
              <w14:schemeClr w14:val="tx1"/>
            </w14:solidFill>
          </w14:textFill>
        </w:rPr>
        <w:t>开工前将水准点与坐标控制点以书面形式交给承包人并进行现场交验</w:t>
      </w:r>
      <w:r>
        <w:rPr>
          <w:rFonts w:hint="eastAsia" w:ascii="宋体" w:hAnsi="宋体" w:cs="宋体"/>
          <w:color w:val="000000" w:themeColor="text1"/>
          <w:kern w:val="21"/>
          <w:szCs w:val="21"/>
          <w:highlight w:val="none"/>
          <w14:textFill>
            <w14:solidFill>
              <w14:schemeClr w14:val="tx1"/>
            </w14:solidFill>
          </w14:textFill>
        </w:rPr>
        <w:t>。</w:t>
      </w:r>
    </w:p>
    <w:p w14:paraId="50F8419E">
      <w:pPr>
        <w:spacing w:line="480" w:lineRule="exact"/>
        <w:ind w:right="-50" w:rightChars="-24"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（6）图纸会审和设计交底时间：</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p>
    <w:p w14:paraId="5D78048B">
      <w:pPr>
        <w:spacing w:line="480" w:lineRule="exact"/>
        <w:ind w:right="-50" w:rightChars="-24"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（7）协调处理施工场地周围地下管线和邻近建筑物、构筑物（含文物保护建筑）、古树名木的保护工作：</w:t>
      </w:r>
      <w:r>
        <w:rPr>
          <w:rFonts w:hint="eastAsia" w:ascii="宋体" w:hAnsi="宋体" w:cs="宋体"/>
          <w:color w:val="000000" w:themeColor="text1"/>
          <w:kern w:val="21"/>
          <w:szCs w:val="21"/>
          <w:highlight w:val="none"/>
          <w:u w:val="single"/>
          <w14:textFill>
            <w14:solidFill>
              <w14:schemeClr w14:val="tx1"/>
            </w14:solidFill>
          </w14:textFill>
        </w:rPr>
        <w:t>如发包人提出特殊保护措施，承包人应予以执行，费用由发包人承担（承包人未按发包人指示或未按操作规程造成的损失除外）</w:t>
      </w:r>
      <w:r>
        <w:rPr>
          <w:rFonts w:hint="eastAsia" w:ascii="宋体" w:hAnsi="宋体" w:cs="宋体"/>
          <w:color w:val="000000" w:themeColor="text1"/>
          <w:kern w:val="21"/>
          <w:szCs w:val="21"/>
          <w:highlight w:val="none"/>
          <w14:textFill>
            <w14:solidFill>
              <w14:schemeClr w14:val="tx1"/>
            </w14:solidFill>
          </w14:textFill>
        </w:rPr>
        <w:t>。</w:t>
      </w:r>
    </w:p>
    <w:p w14:paraId="7AB1AEC1">
      <w:pPr>
        <w:spacing w:line="480" w:lineRule="exact"/>
        <w:ind w:right="-50" w:rightChars="-24" w:firstLine="420" w:firstLineChars="200"/>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（8）双方约定发包人应做的其他工作：</w:t>
      </w:r>
      <w:r>
        <w:rPr>
          <w:rFonts w:hint="eastAsia" w:ascii="宋体" w:hAnsi="宋体" w:cs="宋体"/>
          <w:color w:val="000000" w:themeColor="text1"/>
          <w:kern w:val="21"/>
          <w:szCs w:val="21"/>
          <w:highlight w:val="none"/>
          <w:u w:val="single"/>
          <w14:textFill>
            <w14:solidFill>
              <w14:schemeClr w14:val="tx1"/>
            </w14:solidFill>
          </w14:textFill>
        </w:rPr>
        <w:t>另行约定</w:t>
      </w:r>
      <w:r>
        <w:rPr>
          <w:rFonts w:hint="eastAsia" w:ascii="宋体" w:hAnsi="宋体" w:cs="宋体"/>
          <w:color w:val="000000" w:themeColor="text1"/>
          <w:kern w:val="21"/>
          <w:szCs w:val="21"/>
          <w:highlight w:val="none"/>
          <w14:textFill>
            <w14:solidFill>
              <w14:schemeClr w14:val="tx1"/>
            </w14:solidFill>
          </w14:textFill>
        </w:rPr>
        <w:t>。</w:t>
      </w:r>
    </w:p>
    <w:p w14:paraId="46D46212">
      <w:pPr>
        <w:spacing w:after="120" w:line="480" w:lineRule="exact"/>
        <w:ind w:firstLine="420" w:firstLineChars="200"/>
        <w:outlineLvl w:val="0"/>
        <w:rPr>
          <w:rFonts w:ascii="宋体" w:hAnsi="宋体" w:cs="宋体"/>
          <w:color w:val="000000" w:themeColor="text1"/>
          <w:kern w:val="21"/>
          <w:szCs w:val="21"/>
          <w:highlight w:val="none"/>
          <w14:textFill>
            <w14:solidFill>
              <w14:schemeClr w14:val="tx1"/>
            </w14:solidFill>
          </w14:textFill>
        </w:rPr>
      </w:pPr>
      <w:bookmarkStart w:id="63" w:name="_Toc17339"/>
      <w:r>
        <w:rPr>
          <w:rFonts w:hint="eastAsia" w:ascii="宋体" w:hAnsi="宋体" w:cs="宋体"/>
          <w:color w:val="000000" w:themeColor="text1"/>
          <w:kern w:val="21"/>
          <w:szCs w:val="21"/>
          <w:highlight w:val="none"/>
          <w14:textFill>
            <w14:solidFill>
              <w14:schemeClr w14:val="tx1"/>
            </w14:solidFill>
          </w14:textFill>
        </w:rPr>
        <w:t>2.5 资金来源证明及支付担保</w:t>
      </w:r>
      <w:bookmarkEnd w:id="63"/>
    </w:p>
    <w:p w14:paraId="00120CBF">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发包人提供资金来源证明的期限要求：</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p>
    <w:p w14:paraId="4558CEE4">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发包人是否提供支付担保：</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p>
    <w:p w14:paraId="742896BB">
      <w:pPr>
        <w:spacing w:line="480" w:lineRule="exact"/>
        <w:ind w:firstLine="420" w:firstLineChars="200"/>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发包人提供支付担保的形式：</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p>
    <w:p w14:paraId="30392841">
      <w:pPr>
        <w:pStyle w:val="4"/>
        <w:tabs>
          <w:tab w:val="left" w:pos="864"/>
        </w:tabs>
        <w:spacing w:before="120" w:after="120" w:line="480" w:lineRule="exact"/>
        <w:textAlignment w:val="auto"/>
        <w:rPr>
          <w:rFonts w:ascii="宋体" w:hAnsi="宋体" w:cs="宋体"/>
          <w:b w:val="0"/>
          <w:color w:val="000000" w:themeColor="text1"/>
          <w:kern w:val="21"/>
          <w:sz w:val="21"/>
          <w:szCs w:val="21"/>
          <w:highlight w:val="none"/>
          <w14:textFill>
            <w14:solidFill>
              <w14:schemeClr w14:val="tx1"/>
            </w14:solidFill>
          </w14:textFill>
        </w:rPr>
      </w:pPr>
      <w:bookmarkStart w:id="64" w:name="_Toc351203635"/>
      <w:r>
        <w:rPr>
          <w:rFonts w:hint="eastAsia" w:ascii="宋体" w:hAnsi="宋体" w:cs="宋体"/>
          <w:b w:val="0"/>
          <w:color w:val="000000" w:themeColor="text1"/>
          <w:kern w:val="21"/>
          <w:sz w:val="21"/>
          <w:szCs w:val="21"/>
          <w:highlight w:val="none"/>
          <w14:textFill>
            <w14:solidFill>
              <w14:schemeClr w14:val="tx1"/>
            </w14:solidFill>
          </w14:textFill>
        </w:rPr>
        <w:t>3</w:t>
      </w:r>
      <w:bookmarkStart w:id="65" w:name="_Toc297120458"/>
      <w:bookmarkStart w:id="66" w:name="_Toc296347157"/>
      <w:bookmarkStart w:id="67" w:name="_Toc296890986"/>
      <w:bookmarkStart w:id="68" w:name="_Toc296891198"/>
      <w:bookmarkStart w:id="69" w:name="_Toc292559868"/>
      <w:bookmarkStart w:id="70" w:name="_Toc296346659"/>
      <w:bookmarkStart w:id="71" w:name="_Toc296944497"/>
      <w:bookmarkStart w:id="72" w:name="_Toc292559363"/>
      <w:bookmarkStart w:id="73" w:name="_Toc296503158"/>
      <w:bookmarkStart w:id="74" w:name="_Toc297048344"/>
      <w:r>
        <w:rPr>
          <w:rFonts w:hint="eastAsia" w:ascii="宋体" w:hAnsi="宋体" w:cs="宋体"/>
          <w:b w:val="0"/>
          <w:color w:val="000000" w:themeColor="text1"/>
          <w:kern w:val="21"/>
          <w:sz w:val="21"/>
          <w:szCs w:val="21"/>
          <w:highlight w:val="none"/>
          <w14:textFill>
            <w14:solidFill>
              <w14:schemeClr w14:val="tx1"/>
            </w14:solidFill>
          </w14:textFill>
        </w:rPr>
        <w:t>. 承包人</w:t>
      </w:r>
      <w:bookmarkEnd w:id="64"/>
    </w:p>
    <w:bookmarkEnd w:id="65"/>
    <w:bookmarkEnd w:id="66"/>
    <w:bookmarkEnd w:id="67"/>
    <w:bookmarkEnd w:id="68"/>
    <w:bookmarkEnd w:id="69"/>
    <w:bookmarkEnd w:id="70"/>
    <w:bookmarkEnd w:id="71"/>
    <w:bookmarkEnd w:id="72"/>
    <w:bookmarkEnd w:id="73"/>
    <w:bookmarkEnd w:id="74"/>
    <w:p w14:paraId="5ABD3BF6">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3.1 承包人的一般义务</w:t>
      </w:r>
    </w:p>
    <w:p w14:paraId="7D3AEE73">
      <w:pPr>
        <w:spacing w:line="480" w:lineRule="exact"/>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（9）承包人提交的竣工资料的内容：</w:t>
      </w:r>
      <w:r>
        <w:rPr>
          <w:rFonts w:hint="eastAsia" w:ascii="宋体" w:hAnsi="宋体" w:cs="宋体"/>
          <w:color w:val="000000" w:themeColor="text1"/>
          <w:kern w:val="21"/>
          <w:szCs w:val="21"/>
          <w:highlight w:val="none"/>
          <w:u w:val="single"/>
          <w14:textFill>
            <w14:solidFill>
              <w14:schemeClr w14:val="tx1"/>
            </w14:solidFill>
          </w14:textFill>
        </w:rPr>
        <w:t>承包人向发包人提交完整的竣工资料及竣工图，并提供电子文档</w:t>
      </w:r>
      <w:r>
        <w:rPr>
          <w:rFonts w:hint="eastAsia" w:ascii="宋体" w:hAnsi="宋体" w:cs="宋体"/>
          <w:color w:val="000000" w:themeColor="text1"/>
          <w:kern w:val="21"/>
          <w:szCs w:val="21"/>
          <w:highlight w:val="none"/>
          <w14:textFill>
            <w14:solidFill>
              <w14:schemeClr w14:val="tx1"/>
            </w14:solidFill>
          </w14:textFill>
        </w:rPr>
        <w:t>。</w:t>
      </w:r>
    </w:p>
    <w:p w14:paraId="36A07C05">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承包人需要提交的竣工资料套数：</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p>
    <w:p w14:paraId="57FA7013">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承包人提交的竣工资料的费用承担：</w:t>
      </w:r>
      <w:r>
        <w:rPr>
          <w:rFonts w:hint="eastAsia" w:ascii="宋体" w:hAnsi="宋体" w:cs="宋体"/>
          <w:color w:val="000000" w:themeColor="text1"/>
          <w:kern w:val="21"/>
          <w:szCs w:val="21"/>
          <w:highlight w:val="none"/>
          <w:u w:val="single"/>
          <w14:textFill>
            <w14:solidFill>
              <w14:schemeClr w14:val="tx1"/>
            </w14:solidFill>
          </w14:textFill>
        </w:rPr>
        <w:t>由承包人承担</w:t>
      </w:r>
      <w:r>
        <w:rPr>
          <w:rFonts w:hint="eastAsia" w:ascii="宋体" w:hAnsi="宋体" w:cs="宋体"/>
          <w:color w:val="000000" w:themeColor="text1"/>
          <w:kern w:val="21"/>
          <w:szCs w:val="21"/>
          <w:highlight w:val="none"/>
          <w14:textFill>
            <w14:solidFill>
              <w14:schemeClr w14:val="tx1"/>
            </w14:solidFill>
          </w14:textFill>
        </w:rPr>
        <w:t>。</w:t>
      </w:r>
    </w:p>
    <w:p w14:paraId="2D9EFC97">
      <w:pPr>
        <w:spacing w:line="480" w:lineRule="exact"/>
        <w:ind w:firstLine="420" w:firstLineChars="200"/>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承包人提交的竣工资料移交时间：</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w:t>
      </w:r>
    </w:p>
    <w:p w14:paraId="5BF9E8FE">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承包人提交的竣工资料形式要求：</w:t>
      </w:r>
      <w:r>
        <w:rPr>
          <w:rFonts w:hint="eastAsia" w:ascii="宋体" w:hAnsi="宋体" w:cs="宋体"/>
          <w:color w:val="000000" w:themeColor="text1"/>
          <w:kern w:val="21"/>
          <w:szCs w:val="21"/>
          <w:highlight w:val="none"/>
          <w:u w:val="single"/>
          <w14:textFill>
            <w14:solidFill>
              <w14:schemeClr w14:val="tx1"/>
            </w14:solidFill>
          </w14:textFill>
        </w:rPr>
        <w:t>书面及电子文档</w:t>
      </w:r>
      <w:r>
        <w:rPr>
          <w:rFonts w:hint="eastAsia" w:ascii="宋体" w:hAnsi="宋体" w:cs="宋体"/>
          <w:color w:val="000000" w:themeColor="text1"/>
          <w:kern w:val="21"/>
          <w:szCs w:val="21"/>
          <w:highlight w:val="none"/>
          <w14:textFill>
            <w14:solidFill>
              <w14:schemeClr w14:val="tx1"/>
            </w14:solidFill>
          </w14:textFill>
        </w:rPr>
        <w:t>。</w:t>
      </w:r>
    </w:p>
    <w:p w14:paraId="5070C5D3">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（10）承包人应履行的其他义务：</w:t>
      </w:r>
      <w:r>
        <w:rPr>
          <w:rFonts w:hint="eastAsia" w:ascii="宋体" w:hAnsi="宋体" w:cs="宋体"/>
          <w:color w:val="000000" w:themeColor="text1"/>
          <w:kern w:val="21"/>
          <w:szCs w:val="21"/>
          <w:highlight w:val="none"/>
          <w:u w:val="single"/>
          <w14:textFill>
            <w14:solidFill>
              <w14:schemeClr w14:val="tx1"/>
            </w14:solidFill>
          </w14:textFill>
        </w:rPr>
        <w:t xml:space="preserve">     /     。</w:t>
      </w:r>
    </w:p>
    <w:p w14:paraId="64919285">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3.2 项目经理</w:t>
      </w:r>
    </w:p>
    <w:p w14:paraId="5BEAF9D8">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3.2.1 项目经理：</w:t>
      </w:r>
    </w:p>
    <w:p w14:paraId="7B6DFA2D">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姓    名：</w:t>
      </w:r>
      <w:r>
        <w:rPr>
          <w:rFonts w:hint="eastAsia" w:ascii="宋体" w:hAnsi="宋体" w:cs="宋体"/>
          <w:color w:val="000000" w:themeColor="text1"/>
          <w:kern w:val="21"/>
          <w:szCs w:val="21"/>
          <w:highlight w:val="none"/>
          <w:u w:val="single"/>
          <w14:textFill>
            <w14:solidFill>
              <w14:schemeClr w14:val="tx1"/>
            </w14:solidFill>
          </w14:textFill>
        </w:rPr>
        <w:t>         </w:t>
      </w:r>
      <w:r>
        <w:rPr>
          <w:rFonts w:hint="eastAsia" w:ascii="宋体" w:hAnsi="宋体" w:cs="宋体"/>
          <w:color w:val="000000" w:themeColor="text1"/>
          <w:kern w:val="21"/>
          <w:szCs w:val="21"/>
          <w:highlight w:val="none"/>
          <w14:textFill>
            <w14:solidFill>
              <w14:schemeClr w14:val="tx1"/>
            </w14:solidFill>
          </w14:textFill>
        </w:rPr>
        <w:t>；</w:t>
      </w:r>
    </w:p>
    <w:p w14:paraId="054C317A">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身份证号：</w:t>
      </w:r>
      <w:r>
        <w:rPr>
          <w:rFonts w:hint="eastAsia" w:ascii="宋体" w:hAnsi="宋体" w:cs="宋体"/>
          <w:color w:val="000000" w:themeColor="text1"/>
          <w:kern w:val="21"/>
          <w:szCs w:val="21"/>
          <w:highlight w:val="none"/>
          <w:u w:val="single"/>
          <w14:textFill>
            <w14:solidFill>
              <w14:schemeClr w14:val="tx1"/>
            </w14:solidFill>
          </w14:textFill>
        </w:rPr>
        <w:t>         </w:t>
      </w:r>
      <w:r>
        <w:rPr>
          <w:rFonts w:hint="eastAsia" w:ascii="宋体" w:hAnsi="宋体" w:cs="宋体"/>
          <w:color w:val="000000" w:themeColor="text1"/>
          <w:kern w:val="21"/>
          <w:szCs w:val="21"/>
          <w:highlight w:val="none"/>
          <w14:textFill>
            <w14:solidFill>
              <w14:schemeClr w14:val="tx1"/>
            </w14:solidFill>
          </w14:textFill>
        </w:rPr>
        <w:t>；</w:t>
      </w:r>
    </w:p>
    <w:p w14:paraId="258B9A3B">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建造师执业资格等级：</w:t>
      </w:r>
      <w:r>
        <w:rPr>
          <w:rFonts w:hint="eastAsia" w:ascii="宋体" w:hAnsi="宋体" w:cs="宋体"/>
          <w:color w:val="000000" w:themeColor="text1"/>
          <w:kern w:val="21"/>
          <w:szCs w:val="21"/>
          <w:highlight w:val="none"/>
          <w:u w:val="single"/>
          <w14:textFill>
            <w14:solidFill>
              <w14:schemeClr w14:val="tx1"/>
            </w14:solidFill>
          </w14:textFill>
        </w:rPr>
        <w:t>   </w:t>
      </w:r>
      <w:r>
        <w:rPr>
          <w:rFonts w:hint="eastAsia" w:ascii="宋体" w:hAnsi="宋体" w:cs="宋体"/>
          <w:color w:val="000000" w:themeColor="text1"/>
          <w:kern w:val="21"/>
          <w:szCs w:val="21"/>
          <w:highlight w:val="none"/>
          <w14:textFill>
            <w14:solidFill>
              <w14:schemeClr w14:val="tx1"/>
            </w14:solidFill>
          </w14:textFill>
        </w:rPr>
        <w:t>；</w:t>
      </w:r>
    </w:p>
    <w:p w14:paraId="1E9108EF">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建造师注册证书号：</w:t>
      </w:r>
      <w:r>
        <w:rPr>
          <w:rFonts w:hint="eastAsia" w:ascii="宋体" w:hAnsi="宋体" w:cs="宋体"/>
          <w:color w:val="000000" w:themeColor="text1"/>
          <w:kern w:val="21"/>
          <w:szCs w:val="21"/>
          <w:highlight w:val="none"/>
          <w:u w:val="single"/>
          <w14:textFill>
            <w14:solidFill>
              <w14:schemeClr w14:val="tx1"/>
            </w14:solidFill>
          </w14:textFill>
        </w:rPr>
        <w:t> </w:t>
      </w:r>
      <w:r>
        <w:rPr>
          <w:rFonts w:hint="eastAsia" w:ascii="宋体" w:hAnsi="宋体" w:cs="宋体"/>
          <w:color w:val="000000" w:themeColor="text1"/>
          <w:kern w:val="21"/>
          <w:szCs w:val="21"/>
          <w:highlight w:val="none"/>
          <w14:textFill>
            <w14:solidFill>
              <w14:schemeClr w14:val="tx1"/>
            </w14:solidFill>
          </w14:textFill>
        </w:rPr>
        <w:t>；</w:t>
      </w:r>
    </w:p>
    <w:p w14:paraId="37923A82">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建造师执业印章号：</w:t>
      </w:r>
      <w:r>
        <w:rPr>
          <w:rFonts w:hint="eastAsia" w:ascii="宋体" w:hAnsi="宋体" w:cs="宋体"/>
          <w:color w:val="000000" w:themeColor="text1"/>
          <w:kern w:val="21"/>
          <w:szCs w:val="21"/>
          <w:highlight w:val="none"/>
          <w:u w:val="single"/>
          <w14:textFill>
            <w14:solidFill>
              <w14:schemeClr w14:val="tx1"/>
            </w14:solidFill>
          </w14:textFill>
        </w:rPr>
        <w:t> </w:t>
      </w:r>
      <w:r>
        <w:rPr>
          <w:rFonts w:hint="eastAsia" w:ascii="宋体" w:hAnsi="宋体" w:cs="宋体"/>
          <w:color w:val="000000" w:themeColor="text1"/>
          <w:kern w:val="21"/>
          <w:szCs w:val="21"/>
          <w:highlight w:val="none"/>
          <w14:textFill>
            <w14:solidFill>
              <w14:schemeClr w14:val="tx1"/>
            </w14:solidFill>
          </w14:textFill>
        </w:rPr>
        <w:t>；</w:t>
      </w:r>
    </w:p>
    <w:p w14:paraId="1C06B9F5">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安全生产考核合格证书号：</w:t>
      </w:r>
      <w:r>
        <w:rPr>
          <w:rFonts w:hint="eastAsia" w:ascii="宋体" w:hAnsi="宋体" w:cs="宋体"/>
          <w:color w:val="000000" w:themeColor="text1"/>
          <w:kern w:val="21"/>
          <w:szCs w:val="21"/>
          <w:highlight w:val="none"/>
          <w:u w:val="single"/>
          <w14:textFill>
            <w14:solidFill>
              <w14:schemeClr w14:val="tx1"/>
            </w14:solidFill>
          </w14:textFill>
        </w:rPr>
        <w:t> </w:t>
      </w:r>
      <w:r>
        <w:rPr>
          <w:rFonts w:hint="eastAsia" w:ascii="宋体" w:hAnsi="宋体" w:cs="宋体"/>
          <w:color w:val="000000" w:themeColor="text1"/>
          <w:kern w:val="21"/>
          <w:szCs w:val="21"/>
          <w:highlight w:val="none"/>
          <w14:textFill>
            <w14:solidFill>
              <w14:schemeClr w14:val="tx1"/>
            </w14:solidFill>
          </w14:textFill>
        </w:rPr>
        <w:t>；</w:t>
      </w:r>
    </w:p>
    <w:p w14:paraId="0178F01B">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联系电话：</w:t>
      </w:r>
      <w:r>
        <w:rPr>
          <w:rFonts w:hint="eastAsia" w:ascii="宋体" w:hAnsi="宋体" w:cs="宋体"/>
          <w:color w:val="000000" w:themeColor="text1"/>
          <w:kern w:val="21"/>
          <w:szCs w:val="21"/>
          <w:highlight w:val="none"/>
          <w:u w:val="single"/>
          <w14:textFill>
            <w14:solidFill>
              <w14:schemeClr w14:val="tx1"/>
            </w14:solidFill>
          </w14:textFill>
        </w:rPr>
        <w:t>         </w:t>
      </w:r>
      <w:r>
        <w:rPr>
          <w:rFonts w:hint="eastAsia" w:ascii="宋体" w:hAnsi="宋体" w:cs="宋体"/>
          <w:color w:val="000000" w:themeColor="text1"/>
          <w:kern w:val="21"/>
          <w:szCs w:val="21"/>
          <w:highlight w:val="none"/>
          <w14:textFill>
            <w14:solidFill>
              <w14:schemeClr w14:val="tx1"/>
            </w14:solidFill>
          </w14:textFill>
        </w:rPr>
        <w:t>；</w:t>
      </w:r>
    </w:p>
    <w:p w14:paraId="0051AF05">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电子信箱：</w:t>
      </w:r>
      <w:r>
        <w:rPr>
          <w:rFonts w:hint="eastAsia" w:ascii="宋体" w:hAnsi="宋体" w:cs="宋体"/>
          <w:color w:val="000000" w:themeColor="text1"/>
          <w:kern w:val="21"/>
          <w:szCs w:val="21"/>
          <w:highlight w:val="none"/>
          <w:u w:val="single"/>
          <w14:textFill>
            <w14:solidFill>
              <w14:schemeClr w14:val="tx1"/>
            </w14:solidFill>
          </w14:textFill>
        </w:rPr>
        <w:t>         </w:t>
      </w:r>
      <w:r>
        <w:rPr>
          <w:rFonts w:hint="eastAsia" w:ascii="宋体" w:hAnsi="宋体" w:cs="宋体"/>
          <w:color w:val="000000" w:themeColor="text1"/>
          <w:kern w:val="21"/>
          <w:szCs w:val="21"/>
          <w:highlight w:val="none"/>
          <w14:textFill>
            <w14:solidFill>
              <w14:schemeClr w14:val="tx1"/>
            </w14:solidFill>
          </w14:textFill>
        </w:rPr>
        <w:t>；</w:t>
      </w:r>
    </w:p>
    <w:p w14:paraId="0A487028">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通信地址：</w:t>
      </w:r>
      <w:r>
        <w:rPr>
          <w:rFonts w:hint="eastAsia" w:ascii="宋体" w:hAnsi="宋体" w:cs="宋体"/>
          <w:color w:val="000000" w:themeColor="text1"/>
          <w:kern w:val="21"/>
          <w:szCs w:val="21"/>
          <w:highlight w:val="none"/>
          <w:u w:val="single"/>
          <w14:textFill>
            <w14:solidFill>
              <w14:schemeClr w14:val="tx1"/>
            </w14:solidFill>
          </w14:textFill>
        </w:rPr>
        <w:t>         </w:t>
      </w:r>
      <w:r>
        <w:rPr>
          <w:rFonts w:hint="eastAsia" w:ascii="宋体" w:hAnsi="宋体" w:cs="宋体"/>
          <w:color w:val="000000" w:themeColor="text1"/>
          <w:kern w:val="21"/>
          <w:szCs w:val="21"/>
          <w:highlight w:val="none"/>
          <w14:textFill>
            <w14:solidFill>
              <w14:schemeClr w14:val="tx1"/>
            </w14:solidFill>
          </w14:textFill>
        </w:rPr>
        <w:t>；</w:t>
      </w:r>
    </w:p>
    <w:p w14:paraId="1188CAF3">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承包人对项目经理的授权范围如下：</w:t>
      </w:r>
      <w:r>
        <w:rPr>
          <w:rFonts w:hint="eastAsia" w:ascii="宋体" w:hAnsi="宋体" w:cs="宋体"/>
          <w:color w:val="000000" w:themeColor="text1"/>
          <w:kern w:val="21"/>
          <w:szCs w:val="21"/>
          <w:highlight w:val="none"/>
          <w:u w:val="single"/>
          <w14:textFill>
            <w14:solidFill>
              <w14:schemeClr w14:val="tx1"/>
            </w14:solidFill>
          </w14:textFill>
        </w:rPr>
        <w:t>代表承包人履行合同全部内容</w:t>
      </w:r>
      <w:r>
        <w:rPr>
          <w:rFonts w:hint="eastAsia" w:ascii="宋体" w:hAnsi="宋体" w:cs="宋体"/>
          <w:color w:val="000000" w:themeColor="text1"/>
          <w:kern w:val="21"/>
          <w:szCs w:val="21"/>
          <w:highlight w:val="none"/>
          <w14:textFill>
            <w14:solidFill>
              <w14:schemeClr w14:val="tx1"/>
            </w14:solidFill>
          </w14:textFill>
        </w:rPr>
        <w:t>。</w:t>
      </w:r>
    </w:p>
    <w:p w14:paraId="4325AB79">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关于项目经理每月在施工现场的时间要求：</w:t>
      </w:r>
      <w:r>
        <w:rPr>
          <w:rFonts w:hint="eastAsia" w:ascii="宋体" w:hAnsi="宋体" w:cs="宋体"/>
          <w:color w:val="000000" w:themeColor="text1"/>
          <w:kern w:val="21"/>
          <w:szCs w:val="21"/>
          <w:highlight w:val="none"/>
          <w:u w:val="single"/>
          <w14:textFill>
            <w14:solidFill>
              <w14:schemeClr w14:val="tx1"/>
            </w14:solidFill>
          </w14:textFill>
        </w:rPr>
        <w:t xml:space="preserve">每月不少于25日 </w:t>
      </w:r>
      <w:r>
        <w:rPr>
          <w:rFonts w:hint="eastAsia" w:ascii="宋体" w:hAnsi="宋体" w:cs="宋体"/>
          <w:color w:val="000000" w:themeColor="text1"/>
          <w:kern w:val="21"/>
          <w:szCs w:val="21"/>
          <w:highlight w:val="none"/>
          <w14:textFill>
            <w14:solidFill>
              <w14:schemeClr w14:val="tx1"/>
            </w14:solidFill>
          </w14:textFill>
        </w:rPr>
        <w:t>。</w:t>
      </w:r>
    </w:p>
    <w:p w14:paraId="7DB359B6">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承包人未提交劳动合同，以及没有为项目经理缴纳社会保险证明的违约责任：</w:t>
      </w:r>
      <w:r>
        <w:rPr>
          <w:rFonts w:hint="eastAsia" w:ascii="宋体" w:hAnsi="宋体" w:cs="宋体"/>
          <w:color w:val="000000" w:themeColor="text1"/>
          <w:kern w:val="21"/>
          <w:szCs w:val="21"/>
          <w:highlight w:val="none"/>
          <w:u w:val="single"/>
          <w14:textFill>
            <w14:solidFill>
              <w14:schemeClr w14:val="tx1"/>
            </w14:solidFill>
          </w14:textFill>
        </w:rPr>
        <w:t>发包人有权要求更换项目经理，并要求承包人承担5000元的违约金，由此增加的费用和延误的工期由承包人承担。</w:t>
      </w:r>
    </w:p>
    <w:p w14:paraId="6355B14A">
      <w:pPr>
        <w:spacing w:line="480" w:lineRule="exact"/>
        <w:ind w:firstLine="420" w:firstLineChars="200"/>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项目经理未经批准，擅自离开施工现场的违约责任：</w:t>
      </w:r>
      <w:r>
        <w:rPr>
          <w:rFonts w:hint="eastAsia" w:ascii="宋体" w:hAnsi="宋体" w:cs="宋体"/>
          <w:color w:val="000000" w:themeColor="text1"/>
          <w:kern w:val="21"/>
          <w:szCs w:val="21"/>
          <w:highlight w:val="none"/>
          <w:u w:val="single"/>
          <w14:textFill>
            <w14:solidFill>
              <w14:schemeClr w14:val="tx1"/>
            </w14:solidFill>
          </w14:textFill>
        </w:rPr>
        <w:t>每发现一次，处以1000元罚款，承包人承担上述违约给发包人造成的一切损失</w:t>
      </w:r>
      <w:r>
        <w:rPr>
          <w:rFonts w:hint="eastAsia" w:ascii="宋体" w:hAnsi="宋体" w:cs="宋体"/>
          <w:color w:val="000000" w:themeColor="text1"/>
          <w:kern w:val="21"/>
          <w:szCs w:val="21"/>
          <w:highlight w:val="none"/>
          <w14:textFill>
            <w14:solidFill>
              <w14:schemeClr w14:val="tx1"/>
            </w14:solidFill>
          </w14:textFill>
        </w:rPr>
        <w:t>。</w:t>
      </w:r>
    </w:p>
    <w:p w14:paraId="6890E775">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3.2.3 承包人擅自更换项目经理的违约责任：</w:t>
      </w:r>
      <w:r>
        <w:rPr>
          <w:rFonts w:hint="eastAsia" w:ascii="宋体" w:hAnsi="宋体" w:cs="宋体"/>
          <w:color w:val="000000" w:themeColor="text1"/>
          <w:kern w:val="21"/>
          <w:szCs w:val="21"/>
          <w:highlight w:val="none"/>
          <w:u w:val="single"/>
          <w14:textFill>
            <w14:solidFill>
              <w14:schemeClr w14:val="tx1"/>
            </w14:solidFill>
          </w14:textFill>
        </w:rPr>
        <w:t>每发现一次，处以5000元罚款，承包人承担上述违约给发包人造成的一切损失</w:t>
      </w:r>
      <w:r>
        <w:rPr>
          <w:rFonts w:hint="eastAsia" w:ascii="宋体" w:hAnsi="宋体" w:cs="宋体"/>
          <w:color w:val="000000" w:themeColor="text1"/>
          <w:kern w:val="21"/>
          <w:szCs w:val="21"/>
          <w:highlight w:val="none"/>
          <w14:textFill>
            <w14:solidFill>
              <w14:schemeClr w14:val="tx1"/>
            </w14:solidFill>
          </w14:textFill>
        </w:rPr>
        <w:t>。</w:t>
      </w:r>
    </w:p>
    <w:p w14:paraId="5D618170">
      <w:pPr>
        <w:spacing w:line="480" w:lineRule="exact"/>
        <w:outlineLvl w:val="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 xml:space="preserve">    </w:t>
      </w:r>
      <w:bookmarkStart w:id="75" w:name="_Toc4925"/>
      <w:r>
        <w:rPr>
          <w:rFonts w:hint="eastAsia" w:ascii="宋体" w:hAnsi="宋体" w:cs="宋体"/>
          <w:color w:val="000000" w:themeColor="text1"/>
          <w:kern w:val="21"/>
          <w:szCs w:val="21"/>
          <w:highlight w:val="none"/>
          <w14:textFill>
            <w14:solidFill>
              <w14:schemeClr w14:val="tx1"/>
            </w14:solidFill>
          </w14:textFill>
        </w:rPr>
        <w:t>3.2.4 承包人无正当理由拒绝更换项目经理的违约责任：</w:t>
      </w:r>
      <w:r>
        <w:rPr>
          <w:rFonts w:hint="eastAsia" w:ascii="宋体" w:hAnsi="宋体" w:cs="宋体"/>
          <w:color w:val="000000" w:themeColor="text1"/>
          <w:kern w:val="21"/>
          <w:szCs w:val="21"/>
          <w:highlight w:val="none"/>
          <w:u w:val="single"/>
          <w14:textFill>
            <w14:solidFill>
              <w14:schemeClr w14:val="tx1"/>
            </w14:solidFill>
          </w14:textFill>
        </w:rPr>
        <w:t>处以5000元罚款，承包人承担上述违约给发包人造成的一切损失</w:t>
      </w:r>
      <w:r>
        <w:rPr>
          <w:rFonts w:hint="eastAsia" w:ascii="宋体" w:hAnsi="宋体" w:cs="宋体"/>
          <w:color w:val="000000" w:themeColor="text1"/>
          <w:kern w:val="21"/>
          <w:szCs w:val="21"/>
          <w:highlight w:val="none"/>
          <w14:textFill>
            <w14:solidFill>
              <w14:schemeClr w14:val="tx1"/>
            </w14:solidFill>
          </w14:textFill>
        </w:rPr>
        <w:t>。</w:t>
      </w:r>
      <w:bookmarkEnd w:id="75"/>
    </w:p>
    <w:p w14:paraId="64EC8B90">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3.3 承包人人员</w:t>
      </w:r>
    </w:p>
    <w:p w14:paraId="2A55B649">
      <w:pPr>
        <w:spacing w:line="480" w:lineRule="exact"/>
        <w:ind w:firstLine="420" w:firstLineChars="200"/>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3.3.1 承包人提交项目管理机构及施工现场管理人员安排报告的期限：</w:t>
      </w:r>
      <w:r>
        <w:rPr>
          <w:rFonts w:hint="eastAsia" w:ascii="宋体" w:hAnsi="宋体" w:cs="宋体"/>
          <w:color w:val="000000" w:themeColor="text1"/>
          <w:kern w:val="21"/>
          <w:szCs w:val="21"/>
          <w:highlight w:val="none"/>
          <w:u w:val="single"/>
          <w14:textFill>
            <w14:solidFill>
              <w14:schemeClr w14:val="tx1"/>
            </w14:solidFill>
          </w14:textFill>
        </w:rPr>
        <w:t>进场7日前。</w:t>
      </w:r>
    </w:p>
    <w:p w14:paraId="32A8C6A0">
      <w:pPr>
        <w:spacing w:line="480" w:lineRule="exact"/>
        <w:ind w:firstLine="480"/>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3.3.3承包人无正当理由拒绝撤换主要施工管理人员的违约责任：</w:t>
      </w:r>
      <w:r>
        <w:rPr>
          <w:rFonts w:hint="eastAsia" w:ascii="宋体" w:hAnsi="宋体" w:cs="宋体"/>
          <w:color w:val="000000" w:themeColor="text1"/>
          <w:kern w:val="21"/>
          <w:szCs w:val="21"/>
          <w:highlight w:val="none"/>
          <w:u w:val="single"/>
          <w14:textFill>
            <w14:solidFill>
              <w14:schemeClr w14:val="tx1"/>
            </w14:solidFill>
          </w14:textFill>
        </w:rPr>
        <w:t>每发现一次，处以500元/人罚款，承包人承担上述违约给发包人造成的一切损失。</w:t>
      </w:r>
    </w:p>
    <w:p w14:paraId="2E22F974">
      <w:pPr>
        <w:spacing w:line="480" w:lineRule="exact"/>
        <w:ind w:firstLine="480"/>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3.3.4 承包人主要施工管理人员离开施工现场的批准要求：</w:t>
      </w:r>
      <w:r>
        <w:rPr>
          <w:rFonts w:hint="eastAsia" w:ascii="宋体" w:hAnsi="宋体" w:cs="宋体"/>
          <w:color w:val="000000" w:themeColor="text1"/>
          <w:kern w:val="21"/>
          <w:szCs w:val="21"/>
          <w:highlight w:val="none"/>
          <w:u w:val="single"/>
          <w14:textFill>
            <w14:solidFill>
              <w14:schemeClr w14:val="tx1"/>
            </w14:solidFill>
          </w14:textFill>
        </w:rPr>
        <w:t>由发包人代表批准 。</w:t>
      </w:r>
    </w:p>
    <w:p w14:paraId="180E50ED">
      <w:pPr>
        <w:spacing w:line="480" w:lineRule="exact"/>
        <w:ind w:firstLine="480"/>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3.3.5承包人擅自更换主要施工管理人员的违约责任：</w:t>
      </w:r>
      <w:r>
        <w:rPr>
          <w:rFonts w:hint="eastAsia" w:ascii="宋体" w:hAnsi="宋体" w:cs="宋体"/>
          <w:color w:val="000000" w:themeColor="text1"/>
          <w:kern w:val="21"/>
          <w:szCs w:val="21"/>
          <w:highlight w:val="none"/>
          <w:u w:val="single"/>
          <w14:textFill>
            <w14:solidFill>
              <w14:schemeClr w14:val="tx1"/>
            </w14:solidFill>
          </w14:textFill>
        </w:rPr>
        <w:t>每发现一次，处以500元罚款，承包人承担上述违约给发包人造成的一切损失。</w:t>
      </w:r>
    </w:p>
    <w:p w14:paraId="26161C43">
      <w:pPr>
        <w:spacing w:line="480" w:lineRule="exact"/>
        <w:ind w:firstLine="480"/>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承包人主要施工管理人员擅自离开施工现场的违约责任：</w:t>
      </w:r>
      <w:r>
        <w:rPr>
          <w:rFonts w:hint="eastAsia" w:ascii="宋体" w:hAnsi="宋体" w:cs="宋体"/>
          <w:color w:val="000000" w:themeColor="text1"/>
          <w:kern w:val="21"/>
          <w:szCs w:val="21"/>
          <w:highlight w:val="none"/>
          <w:u w:val="single"/>
          <w14:textFill>
            <w14:solidFill>
              <w14:schemeClr w14:val="tx1"/>
            </w14:solidFill>
          </w14:textFill>
        </w:rPr>
        <w:t>每发现一次，处以500元罚款，承包人承担上述违约给发包人造成的一切损失。</w:t>
      </w:r>
    </w:p>
    <w:p w14:paraId="18124EAA">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w:t>
      </w:r>
      <w:bookmarkStart w:id="76" w:name="_Toc292559869"/>
      <w:bookmarkStart w:id="77" w:name="_Toc304295523"/>
      <w:bookmarkStart w:id="78" w:name="_Toc296346660"/>
      <w:bookmarkStart w:id="79" w:name="_Toc300934945"/>
      <w:bookmarkStart w:id="80" w:name="_Toc296890987"/>
      <w:bookmarkStart w:id="81" w:name="_Toc297123492"/>
      <w:bookmarkStart w:id="82" w:name="_Toc297048345"/>
      <w:bookmarkStart w:id="83" w:name="_Toc296503159"/>
      <w:bookmarkStart w:id="84" w:name="_Toc297120459"/>
      <w:bookmarkStart w:id="85" w:name="_Toc296891199"/>
      <w:bookmarkStart w:id="86" w:name="_Toc296347158"/>
      <w:bookmarkStart w:id="87" w:name="_Toc303539102"/>
      <w:bookmarkStart w:id="88" w:name="_Toc297216151"/>
      <w:bookmarkStart w:id="89" w:name="_Toc296944498"/>
      <w:bookmarkStart w:id="90" w:name="_Toc312677988"/>
      <w:bookmarkStart w:id="91" w:name="_Toc292559364"/>
      <w:r>
        <w:rPr>
          <w:rFonts w:hint="eastAsia" w:ascii="宋体" w:hAnsi="宋体" w:cs="宋体"/>
          <w:color w:val="000000" w:themeColor="text1"/>
          <w:kern w:val="21"/>
          <w:szCs w:val="21"/>
          <w:highlight w:val="none"/>
          <w14:textFill>
            <w14:solidFill>
              <w14:schemeClr w14:val="tx1"/>
            </w14:solidFill>
          </w14:textFill>
        </w:rPr>
        <w:t>.5 分包</w:t>
      </w:r>
    </w:p>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14:paraId="4CE99C41">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w:t>
      </w:r>
      <w:bookmarkStart w:id="92" w:name="_Toc297048346"/>
      <w:bookmarkStart w:id="93" w:name="_Toc296890988"/>
      <w:bookmarkStart w:id="94" w:name="_Toc292559365"/>
      <w:bookmarkStart w:id="95" w:name="_Toc296944499"/>
      <w:bookmarkStart w:id="96" w:name="_Toc300934946"/>
      <w:bookmarkStart w:id="97" w:name="_Toc292559870"/>
      <w:bookmarkStart w:id="98" w:name="_Toc296891200"/>
      <w:bookmarkStart w:id="99" w:name="_Toc297216152"/>
      <w:bookmarkStart w:id="100" w:name="_Toc303539103"/>
      <w:bookmarkStart w:id="101" w:name="_Toc304295524"/>
      <w:bookmarkStart w:id="102" w:name="_Toc296347159"/>
      <w:bookmarkStart w:id="103" w:name="_Toc297123493"/>
      <w:bookmarkStart w:id="104" w:name="_Toc297120460"/>
      <w:bookmarkStart w:id="105" w:name="_Toc296503160"/>
      <w:bookmarkStart w:id="106" w:name="_Toc296346661"/>
      <w:bookmarkStart w:id="107" w:name="_Toc318581158"/>
      <w:bookmarkStart w:id="108" w:name="_Toc312677989"/>
      <w:r>
        <w:rPr>
          <w:rFonts w:hint="eastAsia" w:ascii="宋体" w:hAnsi="宋体" w:cs="宋体"/>
          <w:color w:val="000000" w:themeColor="text1"/>
          <w:kern w:val="21"/>
          <w:szCs w:val="21"/>
          <w:highlight w:val="none"/>
          <w14:textFill>
            <w14:solidFill>
              <w14:schemeClr w14:val="tx1"/>
            </w14:solidFill>
          </w14:textFill>
        </w:rPr>
        <w:t>.5.1 分包的一般约定</w:t>
      </w:r>
    </w:p>
    <w:p w14:paraId="6C81F9C7">
      <w:pPr>
        <w:spacing w:line="480" w:lineRule="exact"/>
        <w:ind w:firstLine="420" w:firstLineChars="200"/>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禁止分包的工程包括：</w:t>
      </w:r>
      <w:r>
        <w:rPr>
          <w:rFonts w:hint="eastAsia" w:ascii="宋体" w:hAnsi="宋体" w:cs="宋体"/>
          <w:color w:val="000000" w:themeColor="text1"/>
          <w:kern w:val="21"/>
          <w:szCs w:val="21"/>
          <w:highlight w:val="none"/>
          <w:u w:val="single"/>
          <w14:textFill>
            <w14:solidFill>
              <w14:schemeClr w14:val="tx1"/>
            </w14:solidFill>
          </w14:textFill>
        </w:rPr>
        <w:t xml:space="preserve">全部  </w:t>
      </w:r>
    </w:p>
    <w:p w14:paraId="15C94124">
      <w:pPr>
        <w:spacing w:line="480" w:lineRule="exact"/>
        <w:ind w:firstLine="420" w:firstLineChars="200"/>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主体结构、关键性工作的范围：</w:t>
      </w:r>
      <w:r>
        <w:rPr>
          <w:rFonts w:hint="eastAsia" w:ascii="宋体" w:hAnsi="宋体" w:cs="宋体"/>
          <w:color w:val="000000" w:themeColor="text1"/>
          <w:kern w:val="21"/>
          <w:szCs w:val="21"/>
          <w:highlight w:val="none"/>
          <w:u w:val="single"/>
          <w14:textFill>
            <w14:solidFill>
              <w14:schemeClr w14:val="tx1"/>
            </w14:solidFill>
          </w14:textFill>
        </w:rPr>
        <w:t>施工图全部内容。</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Start w:id="109" w:name="_Toc304295525"/>
      <w:bookmarkStart w:id="110" w:name="_Toc297123494"/>
      <w:bookmarkStart w:id="111" w:name="_Toc296346662"/>
      <w:bookmarkStart w:id="112" w:name="_Toc296347160"/>
      <w:bookmarkStart w:id="113" w:name="_Toc303539104"/>
      <w:bookmarkStart w:id="114" w:name="_Toc296890989"/>
      <w:bookmarkStart w:id="115" w:name="_Toc300934947"/>
      <w:bookmarkStart w:id="116" w:name="_Toc296503161"/>
      <w:bookmarkStart w:id="117" w:name="_Toc297048347"/>
      <w:bookmarkStart w:id="118" w:name="_Toc297216153"/>
      <w:bookmarkStart w:id="119" w:name="_Toc297120461"/>
      <w:bookmarkStart w:id="120" w:name="_Toc296891201"/>
      <w:bookmarkStart w:id="121" w:name="_Toc296944500"/>
    </w:p>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14:paraId="23F5C2F8">
      <w:pPr>
        <w:spacing w:line="48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 xml:space="preserve">    3</w:t>
      </w:r>
      <w:bookmarkStart w:id="122" w:name="_Toc312677990"/>
      <w:bookmarkStart w:id="123" w:name="_Toc318581159"/>
      <w:r>
        <w:rPr>
          <w:rFonts w:hint="eastAsia" w:ascii="宋体" w:hAnsi="宋体" w:cs="宋体"/>
          <w:color w:val="000000" w:themeColor="text1"/>
          <w:kern w:val="21"/>
          <w:szCs w:val="21"/>
          <w:highlight w:val="none"/>
          <w14:textFill>
            <w14:solidFill>
              <w14:schemeClr w14:val="tx1"/>
            </w14:solidFill>
          </w14:textFill>
        </w:rPr>
        <w:t>.5.2分包的确定</w:t>
      </w:r>
    </w:p>
    <w:p w14:paraId="0C30DD0B">
      <w:pPr>
        <w:spacing w:line="480" w:lineRule="exact"/>
        <w:ind w:firstLine="420" w:firstLineChars="200"/>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允许分包的专业工程包括：</w:t>
      </w:r>
      <w:r>
        <w:rPr>
          <w:rFonts w:hint="eastAsia" w:ascii="宋体" w:hAnsi="宋体" w:cs="宋体"/>
          <w:color w:val="000000" w:themeColor="text1"/>
          <w:kern w:val="21"/>
          <w:szCs w:val="21"/>
          <w:highlight w:val="none"/>
          <w:u w:val="single"/>
          <w14:textFill>
            <w14:solidFill>
              <w14:schemeClr w14:val="tx1"/>
            </w14:solidFill>
          </w14:textFill>
        </w:rPr>
        <w:t>/</w:t>
      </w:r>
      <w:r>
        <w:rPr>
          <w:rFonts w:hint="eastAsia" w:ascii="宋体" w:hAnsi="宋体" w:cs="宋体"/>
          <w:color w:val="000000" w:themeColor="text1"/>
          <w:kern w:val="21"/>
          <w:szCs w:val="21"/>
          <w:highlight w:val="none"/>
          <w14:textFill>
            <w14:solidFill>
              <w14:schemeClr w14:val="tx1"/>
            </w14:solidFill>
          </w14:textFill>
        </w:rPr>
        <w:t>。</w:t>
      </w:r>
    </w:p>
    <w:p w14:paraId="06AD9D12">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其他关于分包的约定：</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p w14:paraId="5A046C81">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3.5.4 分包合同价款</w:t>
      </w:r>
    </w:p>
    <w:p w14:paraId="130E906A">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关于分包合同价款支付的约定：</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bookmarkEnd w:id="122"/>
    <w:bookmarkEnd w:id="123"/>
    <w:p w14:paraId="113D0D3E">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3.6 工程照管与成品、半成品保护</w:t>
      </w:r>
    </w:p>
    <w:p w14:paraId="568D31E7">
      <w:pPr>
        <w:spacing w:before="120" w:after="120" w:line="480" w:lineRule="exact"/>
        <w:ind w:firstLine="420" w:firstLineChars="200"/>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承包人负责照管工程及工程相关的材料、工程设备的起始时间：</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p w14:paraId="69D7412F">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3.7 履约担保</w:t>
      </w:r>
    </w:p>
    <w:p w14:paraId="55CFF2D0">
      <w:pPr>
        <w:spacing w:line="480" w:lineRule="exact"/>
        <w:ind w:firstLine="480"/>
        <w:jc w:val="left"/>
        <w:rPr>
          <w:rFonts w:ascii="宋体" w:hAnsi="宋体" w:cs="宋体"/>
          <w:color w:val="000000" w:themeColor="text1"/>
          <w:kern w:val="21"/>
          <w:szCs w:val="21"/>
          <w:highlight w:val="none"/>
          <w:u w:val="single"/>
          <w14:textFill>
            <w14:solidFill>
              <w14:schemeClr w14:val="tx1"/>
            </w14:solidFill>
          </w14:textFill>
        </w:rPr>
      </w:pPr>
      <w:bookmarkStart w:id="124" w:name="_Toc351203636"/>
      <w:r>
        <w:rPr>
          <w:rFonts w:hint="eastAsia" w:ascii="宋体" w:hAnsi="宋体" w:cs="宋体"/>
          <w:color w:val="000000" w:themeColor="text1"/>
          <w:kern w:val="21"/>
          <w:szCs w:val="21"/>
          <w:highlight w:val="none"/>
          <w14:textFill>
            <w14:solidFill>
              <w14:schemeClr w14:val="tx1"/>
            </w14:solidFill>
          </w14:textFill>
        </w:rPr>
        <w:t>承包人是否提供履约担保：</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w:t>
      </w:r>
    </w:p>
    <w:p w14:paraId="013B6871">
      <w:pPr>
        <w:pStyle w:val="4"/>
        <w:tabs>
          <w:tab w:val="left" w:pos="864"/>
        </w:tabs>
        <w:spacing w:before="120" w:after="120" w:line="480" w:lineRule="exact"/>
        <w:textAlignment w:val="auto"/>
        <w:rPr>
          <w:rFonts w:ascii="宋体" w:hAnsi="宋体" w:cs="宋体"/>
          <w:b w:val="0"/>
          <w:color w:val="000000" w:themeColor="text1"/>
          <w:kern w:val="21"/>
          <w:sz w:val="21"/>
          <w:szCs w:val="21"/>
          <w:highlight w:val="none"/>
          <w14:textFill>
            <w14:solidFill>
              <w14:schemeClr w14:val="tx1"/>
            </w14:solidFill>
          </w14:textFill>
        </w:rPr>
      </w:pPr>
      <w:r>
        <w:rPr>
          <w:rFonts w:hint="eastAsia" w:ascii="宋体" w:hAnsi="宋体" w:cs="宋体"/>
          <w:b w:val="0"/>
          <w:color w:val="000000" w:themeColor="text1"/>
          <w:kern w:val="21"/>
          <w:sz w:val="21"/>
          <w:szCs w:val="21"/>
          <w:highlight w:val="none"/>
          <w14:textFill>
            <w14:solidFill>
              <w14:schemeClr w14:val="tx1"/>
            </w14:solidFill>
          </w14:textFill>
        </w:rPr>
        <w:t>4</w:t>
      </w:r>
      <w:bookmarkStart w:id="125" w:name="_Toc296346663"/>
      <w:bookmarkStart w:id="126" w:name="_Toc296503162"/>
      <w:bookmarkStart w:id="127" w:name="_Toc297048348"/>
      <w:bookmarkStart w:id="128" w:name="_Toc296944501"/>
      <w:bookmarkStart w:id="129" w:name="_Toc297120462"/>
      <w:bookmarkStart w:id="130" w:name="_Toc292559871"/>
      <w:bookmarkStart w:id="131" w:name="_Toc296890990"/>
      <w:bookmarkStart w:id="132" w:name="_Toc292559366"/>
      <w:bookmarkStart w:id="133" w:name="_Toc267251413"/>
      <w:bookmarkStart w:id="134" w:name="_Toc296891202"/>
      <w:bookmarkStart w:id="135" w:name="_Toc296347161"/>
      <w:r>
        <w:rPr>
          <w:rFonts w:hint="eastAsia" w:ascii="宋体" w:hAnsi="宋体" w:cs="宋体"/>
          <w:b w:val="0"/>
          <w:color w:val="000000" w:themeColor="text1"/>
          <w:kern w:val="21"/>
          <w:sz w:val="21"/>
          <w:szCs w:val="21"/>
          <w:highlight w:val="none"/>
          <w14:textFill>
            <w14:solidFill>
              <w14:schemeClr w14:val="tx1"/>
            </w14:solidFill>
          </w14:textFill>
        </w:rPr>
        <w:t>. 监</w:t>
      </w:r>
      <w:bookmarkEnd w:id="125"/>
      <w:bookmarkEnd w:id="126"/>
      <w:bookmarkEnd w:id="127"/>
      <w:bookmarkEnd w:id="128"/>
      <w:bookmarkEnd w:id="129"/>
      <w:bookmarkEnd w:id="130"/>
      <w:bookmarkEnd w:id="131"/>
      <w:bookmarkEnd w:id="132"/>
      <w:bookmarkEnd w:id="133"/>
      <w:bookmarkEnd w:id="134"/>
      <w:bookmarkEnd w:id="135"/>
      <w:r>
        <w:rPr>
          <w:rFonts w:hint="eastAsia" w:ascii="宋体" w:hAnsi="宋体" w:cs="宋体"/>
          <w:b w:val="0"/>
          <w:color w:val="000000" w:themeColor="text1"/>
          <w:kern w:val="21"/>
          <w:sz w:val="21"/>
          <w:szCs w:val="21"/>
          <w:highlight w:val="none"/>
          <w14:textFill>
            <w14:solidFill>
              <w14:schemeClr w14:val="tx1"/>
            </w14:solidFill>
          </w14:textFill>
        </w:rPr>
        <w:t>理人</w:t>
      </w:r>
      <w:bookmarkEnd w:id="124"/>
    </w:p>
    <w:p w14:paraId="446FC841">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4.1监理人的一般规定</w:t>
      </w:r>
    </w:p>
    <w:p w14:paraId="14E5B45F">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关于监理人的监理内容：</w:t>
      </w:r>
      <w:r>
        <w:rPr>
          <w:rFonts w:hint="eastAsia" w:ascii="宋体" w:hAnsi="宋体" w:cs="宋体"/>
          <w:color w:val="000000" w:themeColor="text1"/>
          <w:kern w:val="21"/>
          <w:szCs w:val="21"/>
          <w:highlight w:val="none"/>
          <w:u w:val="single"/>
          <w14:textFill>
            <w14:solidFill>
              <w14:schemeClr w14:val="tx1"/>
            </w14:solidFill>
          </w14:textFill>
        </w:rPr>
        <w:t>依据监理合同行使权力 。</w:t>
      </w:r>
    </w:p>
    <w:p w14:paraId="7AE78A6C">
      <w:pPr>
        <w:spacing w:line="480" w:lineRule="exact"/>
        <w:ind w:firstLine="420" w:firstLineChars="200"/>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关于监理人的监理权限：</w:t>
      </w:r>
      <w:r>
        <w:rPr>
          <w:rFonts w:hint="eastAsia" w:ascii="宋体" w:hAnsi="宋体" w:cs="宋体"/>
          <w:color w:val="000000" w:themeColor="text1"/>
          <w:kern w:val="21"/>
          <w:szCs w:val="21"/>
          <w:highlight w:val="none"/>
          <w:u w:val="single"/>
          <w14:textFill>
            <w14:solidFill>
              <w14:schemeClr w14:val="tx1"/>
            </w14:solidFill>
          </w14:textFill>
        </w:rPr>
        <w:t>依据监理合同行使权力 。</w:t>
      </w:r>
    </w:p>
    <w:p w14:paraId="35CC4A8B">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u w:val="single"/>
          <w14:textFill>
            <w14:solidFill>
              <w14:schemeClr w14:val="tx1"/>
            </w14:solidFill>
          </w14:textFill>
        </w:rPr>
        <w:t>需要取得发包人批准才能行使的职权：工程洽商、设计变更、工程签证、工程延期、发包人指定价材料的认质认价、工程款支付结算等在决策之前需经发包方代表同意签字  。</w:t>
      </w:r>
      <w:r>
        <w:rPr>
          <w:rFonts w:hint="eastAsia" w:ascii="宋体" w:hAnsi="宋体" w:cs="宋体"/>
          <w:color w:val="000000" w:themeColor="text1"/>
          <w:kern w:val="21"/>
          <w:szCs w:val="21"/>
          <w:highlight w:val="none"/>
          <w14:textFill>
            <w14:solidFill>
              <w14:schemeClr w14:val="tx1"/>
            </w14:solidFill>
          </w14:textFill>
        </w:rPr>
        <w:t xml:space="preserve">  </w:t>
      </w:r>
    </w:p>
    <w:p w14:paraId="1DE2727A">
      <w:pPr>
        <w:spacing w:line="480" w:lineRule="exact"/>
        <w:ind w:firstLine="420" w:firstLineChars="200"/>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关于监理人在施工现场的办公场所、生活场所的提供和费用承担的约定</w:t>
      </w:r>
      <w:r>
        <w:rPr>
          <w:rFonts w:hint="eastAsia" w:ascii="宋体" w:hAnsi="宋体" w:cs="宋体"/>
          <w:color w:val="000000" w:themeColor="text1"/>
          <w:kern w:val="21"/>
          <w:szCs w:val="21"/>
          <w:highlight w:val="none"/>
          <w:u w:val="single"/>
          <w14:textFill>
            <w14:solidFill>
              <w14:schemeClr w14:val="tx1"/>
            </w14:solidFill>
          </w14:textFill>
        </w:rPr>
        <w:t>：由监理人承担 。</w:t>
      </w:r>
    </w:p>
    <w:p w14:paraId="20D92D41">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4.2 监理人员</w:t>
      </w:r>
    </w:p>
    <w:p w14:paraId="18393391">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总监理工程师：</w:t>
      </w:r>
    </w:p>
    <w:p w14:paraId="1F0F878F">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姓    名：</w:t>
      </w:r>
      <w:r>
        <w:rPr>
          <w:rFonts w:hint="eastAsia" w:ascii="宋体" w:hAnsi="宋体" w:cs="宋体"/>
          <w:color w:val="000000" w:themeColor="text1"/>
          <w:kern w:val="21"/>
          <w:szCs w:val="21"/>
          <w:highlight w:val="none"/>
          <w:u w:val="single"/>
          <w14:textFill>
            <w14:solidFill>
              <w14:schemeClr w14:val="tx1"/>
            </w14:solidFill>
          </w14:textFill>
        </w:rPr>
        <w:t>   </w:t>
      </w:r>
      <w:r>
        <w:rPr>
          <w:rFonts w:hint="eastAsia" w:ascii="宋体" w:hAnsi="宋体" w:cs="宋体"/>
          <w:color w:val="000000" w:themeColor="text1"/>
          <w:kern w:val="21"/>
          <w:szCs w:val="21"/>
          <w:highlight w:val="none"/>
          <w14:textFill>
            <w14:solidFill>
              <w14:schemeClr w14:val="tx1"/>
            </w14:solidFill>
          </w14:textFill>
        </w:rPr>
        <w:t>；</w:t>
      </w:r>
    </w:p>
    <w:p w14:paraId="14656079">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职    务：</w:t>
      </w:r>
      <w:r>
        <w:rPr>
          <w:rFonts w:hint="eastAsia" w:ascii="宋体" w:hAnsi="宋体" w:cs="宋体"/>
          <w:color w:val="000000" w:themeColor="text1"/>
          <w:kern w:val="21"/>
          <w:szCs w:val="21"/>
          <w:highlight w:val="none"/>
          <w:u w:val="single"/>
          <w14:textFill>
            <w14:solidFill>
              <w14:schemeClr w14:val="tx1"/>
            </w14:solidFill>
          </w14:textFill>
        </w:rPr>
        <w:t>   </w:t>
      </w:r>
      <w:r>
        <w:rPr>
          <w:rFonts w:hint="eastAsia" w:ascii="宋体" w:hAnsi="宋体" w:cs="宋体"/>
          <w:color w:val="000000" w:themeColor="text1"/>
          <w:kern w:val="21"/>
          <w:szCs w:val="21"/>
          <w:highlight w:val="none"/>
          <w14:textFill>
            <w14:solidFill>
              <w14:schemeClr w14:val="tx1"/>
            </w14:solidFill>
          </w14:textFill>
        </w:rPr>
        <w:t>；</w:t>
      </w:r>
    </w:p>
    <w:p w14:paraId="1DB720ED">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监理工程师执业资格证书号：</w:t>
      </w:r>
      <w:r>
        <w:rPr>
          <w:rFonts w:hint="eastAsia" w:ascii="宋体" w:hAnsi="宋体" w:cs="宋体"/>
          <w:color w:val="000000" w:themeColor="text1"/>
          <w:kern w:val="21"/>
          <w:szCs w:val="21"/>
          <w:highlight w:val="none"/>
          <w:u w:val="single"/>
          <w14:textFill>
            <w14:solidFill>
              <w14:schemeClr w14:val="tx1"/>
            </w14:solidFill>
          </w14:textFill>
        </w:rPr>
        <w:t> </w:t>
      </w:r>
      <w:r>
        <w:rPr>
          <w:rFonts w:hint="eastAsia" w:ascii="宋体" w:hAnsi="宋体" w:cs="宋体"/>
          <w:color w:val="000000" w:themeColor="text1"/>
          <w:kern w:val="21"/>
          <w:szCs w:val="21"/>
          <w:highlight w:val="none"/>
          <w14:textFill>
            <w14:solidFill>
              <w14:schemeClr w14:val="tx1"/>
            </w14:solidFill>
          </w14:textFill>
        </w:rPr>
        <w:t>；</w:t>
      </w:r>
    </w:p>
    <w:p w14:paraId="59E9B132">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联系电话：</w:t>
      </w:r>
      <w:r>
        <w:rPr>
          <w:rFonts w:hint="eastAsia" w:ascii="宋体" w:hAnsi="宋体" w:cs="宋体"/>
          <w:color w:val="000000" w:themeColor="text1"/>
          <w:kern w:val="21"/>
          <w:szCs w:val="21"/>
          <w:highlight w:val="none"/>
          <w:u w:val="single"/>
          <w14:textFill>
            <w14:solidFill>
              <w14:schemeClr w14:val="tx1"/>
            </w14:solidFill>
          </w14:textFill>
        </w:rPr>
        <w:t>   </w:t>
      </w:r>
      <w:r>
        <w:rPr>
          <w:rFonts w:hint="eastAsia" w:ascii="宋体" w:hAnsi="宋体" w:cs="宋体"/>
          <w:color w:val="000000" w:themeColor="text1"/>
          <w:kern w:val="21"/>
          <w:szCs w:val="21"/>
          <w:highlight w:val="none"/>
          <w14:textFill>
            <w14:solidFill>
              <w14:schemeClr w14:val="tx1"/>
            </w14:solidFill>
          </w14:textFill>
        </w:rPr>
        <w:t>；</w:t>
      </w:r>
    </w:p>
    <w:p w14:paraId="43CDCDE9">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电子信箱：</w:t>
      </w:r>
      <w:r>
        <w:rPr>
          <w:rFonts w:hint="eastAsia" w:ascii="宋体" w:hAnsi="宋体" w:cs="宋体"/>
          <w:color w:val="000000" w:themeColor="text1"/>
          <w:kern w:val="21"/>
          <w:szCs w:val="21"/>
          <w:highlight w:val="none"/>
          <w:u w:val="single"/>
          <w14:textFill>
            <w14:solidFill>
              <w14:schemeClr w14:val="tx1"/>
            </w14:solidFill>
          </w14:textFill>
        </w:rPr>
        <w:t>   </w:t>
      </w:r>
      <w:r>
        <w:rPr>
          <w:rFonts w:hint="eastAsia" w:ascii="宋体" w:hAnsi="宋体" w:cs="宋体"/>
          <w:color w:val="000000" w:themeColor="text1"/>
          <w:kern w:val="21"/>
          <w:szCs w:val="21"/>
          <w:highlight w:val="none"/>
          <w14:textFill>
            <w14:solidFill>
              <w14:schemeClr w14:val="tx1"/>
            </w14:solidFill>
          </w14:textFill>
        </w:rPr>
        <w:t>；</w:t>
      </w:r>
    </w:p>
    <w:p w14:paraId="606E30DD">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通信地址：</w:t>
      </w:r>
      <w:r>
        <w:rPr>
          <w:rFonts w:hint="eastAsia" w:ascii="宋体" w:hAnsi="宋体" w:cs="宋体"/>
          <w:color w:val="000000" w:themeColor="text1"/>
          <w:kern w:val="21"/>
          <w:szCs w:val="21"/>
          <w:highlight w:val="none"/>
          <w:u w:val="single"/>
          <w14:textFill>
            <w14:solidFill>
              <w14:schemeClr w14:val="tx1"/>
            </w14:solidFill>
          </w14:textFill>
        </w:rPr>
        <w:t>   </w:t>
      </w:r>
      <w:r>
        <w:rPr>
          <w:rFonts w:hint="eastAsia" w:ascii="宋体" w:hAnsi="宋体" w:cs="宋体"/>
          <w:color w:val="000000" w:themeColor="text1"/>
          <w:kern w:val="21"/>
          <w:szCs w:val="21"/>
          <w:highlight w:val="none"/>
          <w14:textFill>
            <w14:solidFill>
              <w14:schemeClr w14:val="tx1"/>
            </w14:solidFill>
          </w14:textFill>
        </w:rPr>
        <w:t>；</w:t>
      </w:r>
    </w:p>
    <w:p w14:paraId="1B88988B">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关于监理人的其他约定：</w:t>
      </w:r>
      <w:r>
        <w:rPr>
          <w:rFonts w:hint="eastAsia" w:ascii="宋体" w:hAnsi="宋体" w:cs="宋体"/>
          <w:color w:val="000000" w:themeColor="text1"/>
          <w:kern w:val="21"/>
          <w:szCs w:val="21"/>
          <w:highlight w:val="none"/>
          <w:u w:val="single"/>
          <w14:textFill>
            <w14:solidFill>
              <w14:schemeClr w14:val="tx1"/>
            </w14:solidFill>
          </w14:textFill>
        </w:rPr>
        <w:t>   </w:t>
      </w:r>
      <w:r>
        <w:rPr>
          <w:rFonts w:hint="eastAsia" w:ascii="宋体" w:hAnsi="宋体" w:cs="宋体"/>
          <w:color w:val="000000" w:themeColor="text1"/>
          <w:kern w:val="21"/>
          <w:szCs w:val="21"/>
          <w:highlight w:val="none"/>
          <w14:textFill>
            <w14:solidFill>
              <w14:schemeClr w14:val="tx1"/>
            </w14:solidFill>
          </w14:textFill>
        </w:rPr>
        <w:t>。</w:t>
      </w:r>
    </w:p>
    <w:p w14:paraId="7A5DCE73">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4.4 商定或确定</w:t>
      </w:r>
    </w:p>
    <w:p w14:paraId="17CFDBDA">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bookmarkStart w:id="136" w:name="_Toc267251418"/>
      <w:r>
        <w:rPr>
          <w:rFonts w:hint="eastAsia" w:ascii="宋体" w:hAnsi="宋体" w:cs="宋体"/>
          <w:color w:val="000000" w:themeColor="text1"/>
          <w:kern w:val="21"/>
          <w:szCs w:val="21"/>
          <w:highlight w:val="none"/>
          <w14:textFill>
            <w14:solidFill>
              <w14:schemeClr w14:val="tx1"/>
            </w14:solidFill>
          </w14:textFill>
        </w:rPr>
        <w:t>在发包人和承包人不能通过协商达成一致意见时，发包人授权监理人对以下事项进行确定：</w:t>
      </w:r>
    </w:p>
    <w:p w14:paraId="6F6CBB98">
      <w:pPr>
        <w:autoSpaceDE w:val="0"/>
        <w:autoSpaceDN w:val="0"/>
        <w:adjustRightInd w:val="0"/>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p>
    <w:p w14:paraId="63A3EA45">
      <w:pPr>
        <w:autoSpaceDE w:val="0"/>
        <w:autoSpaceDN w:val="0"/>
        <w:adjustRightInd w:val="0"/>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（2）</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p>
    <w:p w14:paraId="3D3D1E53">
      <w:pPr>
        <w:autoSpaceDE w:val="0"/>
        <w:autoSpaceDN w:val="0"/>
        <w:adjustRightInd w:val="0"/>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p>
    <w:p w14:paraId="1792C134">
      <w:pPr>
        <w:pStyle w:val="4"/>
        <w:tabs>
          <w:tab w:val="left" w:pos="864"/>
        </w:tabs>
        <w:spacing w:before="120" w:after="120" w:line="480" w:lineRule="exact"/>
        <w:textAlignment w:val="auto"/>
        <w:rPr>
          <w:rFonts w:ascii="宋体" w:hAnsi="宋体" w:cs="宋体"/>
          <w:b w:val="0"/>
          <w:color w:val="000000" w:themeColor="text1"/>
          <w:kern w:val="21"/>
          <w:sz w:val="21"/>
          <w:szCs w:val="21"/>
          <w:highlight w:val="none"/>
          <w14:textFill>
            <w14:solidFill>
              <w14:schemeClr w14:val="tx1"/>
            </w14:solidFill>
          </w14:textFill>
        </w:rPr>
      </w:pPr>
      <w:bookmarkStart w:id="137" w:name="_Toc351203637"/>
      <w:r>
        <w:rPr>
          <w:rFonts w:hint="eastAsia" w:ascii="宋体" w:hAnsi="宋体" w:cs="宋体"/>
          <w:b w:val="0"/>
          <w:color w:val="000000" w:themeColor="text1"/>
          <w:kern w:val="21"/>
          <w:sz w:val="21"/>
          <w:szCs w:val="21"/>
          <w:highlight w:val="none"/>
          <w14:textFill>
            <w14:solidFill>
              <w14:schemeClr w14:val="tx1"/>
            </w14:solidFill>
          </w14:textFill>
        </w:rPr>
        <w:t>5</w:t>
      </w:r>
      <w:bookmarkEnd w:id="136"/>
      <w:bookmarkStart w:id="138" w:name="_Toc296891203"/>
      <w:bookmarkStart w:id="139" w:name="_Toc296503163"/>
      <w:bookmarkStart w:id="140" w:name="_Toc297048349"/>
      <w:bookmarkStart w:id="141" w:name="_Toc296944502"/>
      <w:bookmarkStart w:id="142" w:name="_Toc296347162"/>
      <w:bookmarkStart w:id="143" w:name="_Toc292559367"/>
      <w:bookmarkStart w:id="144" w:name="_Toc296890991"/>
      <w:bookmarkStart w:id="145" w:name="_Toc296346664"/>
      <w:bookmarkStart w:id="146" w:name="_Toc292559872"/>
      <w:bookmarkStart w:id="147" w:name="_Toc297120463"/>
      <w:r>
        <w:rPr>
          <w:rFonts w:hint="eastAsia" w:ascii="宋体" w:hAnsi="宋体" w:cs="宋体"/>
          <w:b w:val="0"/>
          <w:color w:val="000000" w:themeColor="text1"/>
          <w:kern w:val="21"/>
          <w:sz w:val="21"/>
          <w:szCs w:val="21"/>
          <w:highlight w:val="none"/>
          <w14:textFill>
            <w14:solidFill>
              <w14:schemeClr w14:val="tx1"/>
            </w14:solidFill>
          </w14:textFill>
        </w:rPr>
        <w:t>. 工程质量</w:t>
      </w:r>
      <w:bookmarkEnd w:id="137"/>
    </w:p>
    <w:p w14:paraId="6789DCC7">
      <w:pPr>
        <w:spacing w:after="120" w:line="480" w:lineRule="exact"/>
        <w:ind w:firstLine="420" w:firstLineChars="200"/>
        <w:outlineLvl w:val="0"/>
        <w:rPr>
          <w:rFonts w:ascii="宋体" w:hAnsi="宋体" w:cs="宋体"/>
          <w:color w:val="000000" w:themeColor="text1"/>
          <w:kern w:val="21"/>
          <w:szCs w:val="21"/>
          <w:highlight w:val="none"/>
          <w14:textFill>
            <w14:solidFill>
              <w14:schemeClr w14:val="tx1"/>
            </w14:solidFill>
          </w14:textFill>
        </w:rPr>
      </w:pPr>
      <w:bookmarkStart w:id="148" w:name="_Toc9098"/>
      <w:r>
        <w:rPr>
          <w:rFonts w:hint="eastAsia" w:ascii="宋体" w:hAnsi="宋体" w:cs="宋体"/>
          <w:color w:val="000000" w:themeColor="text1"/>
          <w:kern w:val="21"/>
          <w:szCs w:val="21"/>
          <w:highlight w:val="none"/>
          <w14:textFill>
            <w14:solidFill>
              <w14:schemeClr w14:val="tx1"/>
            </w14:solidFill>
          </w14:textFill>
        </w:rPr>
        <w:t>5.1 质量要求</w:t>
      </w:r>
      <w:bookmarkEnd w:id="148"/>
    </w:p>
    <w:p w14:paraId="5009F6E4">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5</w:t>
      </w:r>
      <w:bookmarkStart w:id="149" w:name="_Toc297123496"/>
      <w:bookmarkStart w:id="150" w:name="_Toc297216155"/>
      <w:bookmarkStart w:id="151" w:name="_Toc304295527"/>
      <w:bookmarkStart w:id="152" w:name="_Toc318581164"/>
      <w:bookmarkStart w:id="153" w:name="_Toc303539106"/>
      <w:bookmarkStart w:id="154" w:name="_Toc300934949"/>
      <w:bookmarkStart w:id="155" w:name="_Toc312677997"/>
      <w:r>
        <w:rPr>
          <w:rFonts w:hint="eastAsia" w:ascii="宋体" w:hAnsi="宋体" w:cs="宋体"/>
          <w:color w:val="000000" w:themeColor="text1"/>
          <w:kern w:val="21"/>
          <w:szCs w:val="21"/>
          <w:highlight w:val="none"/>
          <w14:textFill>
            <w14:solidFill>
              <w14:schemeClr w14:val="tx1"/>
            </w14:solidFill>
          </w14:textFill>
        </w:rPr>
        <w:t>.1.1 特殊质量标准和要求：</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p w14:paraId="7300DA3C">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关于工程奖项的约定：</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p w14:paraId="52F09B9B">
      <w:pPr>
        <w:spacing w:after="120" w:line="480" w:lineRule="exact"/>
        <w:ind w:firstLine="420" w:firstLineChars="200"/>
        <w:outlineLvl w:val="0"/>
        <w:rPr>
          <w:rFonts w:ascii="宋体" w:hAnsi="宋体" w:cs="宋体"/>
          <w:color w:val="000000" w:themeColor="text1"/>
          <w:kern w:val="21"/>
          <w:szCs w:val="21"/>
          <w:highlight w:val="none"/>
          <w14:textFill>
            <w14:solidFill>
              <w14:schemeClr w14:val="tx1"/>
            </w14:solidFill>
          </w14:textFill>
        </w:rPr>
      </w:pPr>
      <w:bookmarkStart w:id="156" w:name="_Toc31321"/>
      <w:r>
        <w:rPr>
          <w:rFonts w:hint="eastAsia" w:ascii="宋体" w:hAnsi="宋体" w:cs="宋体"/>
          <w:color w:val="000000" w:themeColor="text1"/>
          <w:kern w:val="21"/>
          <w:szCs w:val="21"/>
          <w:highlight w:val="none"/>
          <w14:textFill>
            <w14:solidFill>
              <w14:schemeClr w14:val="tx1"/>
            </w14:solidFill>
          </w14:textFill>
        </w:rPr>
        <w:t>5.3 隐蔽工程检查</w:t>
      </w:r>
      <w:bookmarkEnd w:id="156"/>
    </w:p>
    <w:p w14:paraId="7BE95FF9">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 xml:space="preserve">5.3.2承包人提前通知监理人隐蔽工程检查的期限的约定： </w:t>
      </w:r>
      <w:r>
        <w:rPr>
          <w:rFonts w:hint="eastAsia" w:ascii="宋体" w:hAnsi="宋体" w:cs="宋体"/>
          <w:color w:val="000000" w:themeColor="text1"/>
          <w:kern w:val="21"/>
          <w:szCs w:val="21"/>
          <w:highlight w:val="none"/>
          <w:u w:val="single"/>
          <w14:textFill>
            <w14:solidFill>
              <w14:schemeClr w14:val="tx1"/>
            </w14:solidFill>
          </w14:textFill>
        </w:rPr>
        <w:t xml:space="preserve">24小时前 </w:t>
      </w:r>
      <w:r>
        <w:rPr>
          <w:rFonts w:hint="eastAsia" w:ascii="宋体" w:hAnsi="宋体" w:cs="宋体"/>
          <w:color w:val="000000" w:themeColor="text1"/>
          <w:kern w:val="21"/>
          <w:szCs w:val="21"/>
          <w:highlight w:val="none"/>
          <w14:textFill>
            <w14:solidFill>
              <w14:schemeClr w14:val="tx1"/>
            </w14:solidFill>
          </w14:textFill>
        </w:rPr>
        <w:t xml:space="preserve">  。</w:t>
      </w:r>
    </w:p>
    <w:p w14:paraId="0B676EC1">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监理人不能按时进行检查时，应提前</w:t>
      </w:r>
      <w:r>
        <w:rPr>
          <w:rFonts w:hint="eastAsia" w:ascii="宋体" w:hAnsi="宋体" w:cs="宋体"/>
          <w:color w:val="000000" w:themeColor="text1"/>
          <w:kern w:val="21"/>
          <w:szCs w:val="21"/>
          <w:highlight w:val="none"/>
          <w:u w:val="single"/>
          <w14:textFill>
            <w14:solidFill>
              <w14:schemeClr w14:val="tx1"/>
            </w14:solidFill>
          </w14:textFill>
        </w:rPr>
        <w:t xml:space="preserve">24 </w:t>
      </w:r>
      <w:r>
        <w:rPr>
          <w:rFonts w:hint="eastAsia" w:ascii="宋体" w:hAnsi="宋体" w:cs="宋体"/>
          <w:color w:val="000000" w:themeColor="text1"/>
          <w:kern w:val="21"/>
          <w:szCs w:val="21"/>
          <w:highlight w:val="none"/>
          <w14:textFill>
            <w14:solidFill>
              <w14:schemeClr w14:val="tx1"/>
            </w14:solidFill>
          </w14:textFill>
        </w:rPr>
        <w:t>小时提交书面延期要求。</w:t>
      </w:r>
    </w:p>
    <w:p w14:paraId="4D0382CC">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关于延期最长不得超过：</w:t>
      </w:r>
      <w:r>
        <w:rPr>
          <w:rFonts w:hint="eastAsia" w:ascii="宋体" w:hAnsi="宋体" w:cs="宋体"/>
          <w:color w:val="000000" w:themeColor="text1"/>
          <w:kern w:val="21"/>
          <w:szCs w:val="21"/>
          <w:highlight w:val="none"/>
          <w:u w:val="single"/>
          <w14:textFill>
            <w14:solidFill>
              <w14:schemeClr w14:val="tx1"/>
            </w14:solidFill>
          </w14:textFill>
        </w:rPr>
        <w:t xml:space="preserve"> 24</w:t>
      </w:r>
      <w:r>
        <w:rPr>
          <w:rFonts w:hint="eastAsia" w:ascii="宋体" w:hAnsi="宋体" w:cs="宋体"/>
          <w:color w:val="000000" w:themeColor="text1"/>
          <w:kern w:val="21"/>
          <w:szCs w:val="21"/>
          <w:highlight w:val="none"/>
          <w14:textFill>
            <w14:solidFill>
              <w14:schemeClr w14:val="tx1"/>
            </w14:solidFill>
          </w14:textFill>
        </w:rPr>
        <w:t xml:space="preserve"> 小时。</w:t>
      </w:r>
    </w:p>
    <w:p w14:paraId="5D1FC0B7">
      <w:pPr>
        <w:pStyle w:val="4"/>
        <w:tabs>
          <w:tab w:val="left" w:pos="864"/>
        </w:tabs>
        <w:spacing w:before="120" w:after="120" w:line="480" w:lineRule="exact"/>
        <w:textAlignment w:val="auto"/>
        <w:rPr>
          <w:rFonts w:ascii="宋体" w:hAnsi="宋体" w:cs="宋体"/>
          <w:b w:val="0"/>
          <w:color w:val="000000" w:themeColor="text1"/>
          <w:kern w:val="21"/>
          <w:sz w:val="21"/>
          <w:szCs w:val="21"/>
          <w:highlight w:val="none"/>
          <w14:textFill>
            <w14:solidFill>
              <w14:schemeClr w14:val="tx1"/>
            </w14:solidFill>
          </w14:textFill>
        </w:rPr>
      </w:pPr>
      <w:bookmarkStart w:id="157" w:name="_Toc351203638"/>
      <w:r>
        <w:rPr>
          <w:rFonts w:hint="eastAsia" w:ascii="宋体" w:hAnsi="宋体" w:cs="宋体"/>
          <w:b w:val="0"/>
          <w:color w:val="000000" w:themeColor="text1"/>
          <w:kern w:val="21"/>
          <w:sz w:val="21"/>
          <w:szCs w:val="21"/>
          <w:highlight w:val="none"/>
          <w14:textFill>
            <w14:solidFill>
              <w14:schemeClr w14:val="tx1"/>
            </w14:solidFill>
          </w14:textFill>
        </w:rPr>
        <w:t>6. 安全文明施工与环境保护</w:t>
      </w:r>
      <w:bookmarkEnd w:id="157"/>
    </w:p>
    <w:p w14:paraId="1E9391F9">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6.1安全文明施工</w:t>
      </w:r>
    </w:p>
    <w:bookmarkEnd w:id="149"/>
    <w:bookmarkEnd w:id="150"/>
    <w:bookmarkEnd w:id="151"/>
    <w:bookmarkEnd w:id="152"/>
    <w:bookmarkEnd w:id="153"/>
    <w:bookmarkEnd w:id="154"/>
    <w:bookmarkEnd w:id="155"/>
    <w:p w14:paraId="6D8ADA86">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bookmarkStart w:id="158" w:name="_Toc351203639"/>
      <w:r>
        <w:rPr>
          <w:rFonts w:hint="eastAsia" w:ascii="宋体" w:hAnsi="宋体" w:cs="宋体"/>
          <w:color w:val="000000" w:themeColor="text1"/>
          <w:kern w:val="21"/>
          <w:szCs w:val="21"/>
          <w:highlight w:val="none"/>
          <w14:textFill>
            <w14:solidFill>
              <w14:schemeClr w14:val="tx1"/>
            </w14:solidFill>
          </w14:textFill>
        </w:rPr>
        <w:t>6.1.1 项目安全生产的达标目标及相应事项的约定：</w:t>
      </w:r>
      <w:r>
        <w:rPr>
          <w:rFonts w:hint="eastAsia" w:ascii="宋体" w:hAnsi="宋体" w:cs="宋体"/>
          <w:color w:val="000000" w:themeColor="text1"/>
          <w:kern w:val="21"/>
          <w:szCs w:val="21"/>
          <w:highlight w:val="none"/>
          <w:u w:val="single"/>
          <w14:textFill>
            <w14:solidFill>
              <w14:schemeClr w14:val="tx1"/>
            </w14:solidFill>
          </w14:textFill>
        </w:rPr>
        <w:t xml:space="preserve">要求达到《建筑施工安全检查标准》（JGJ59-2011）标准 </w:t>
      </w:r>
      <w:r>
        <w:rPr>
          <w:rFonts w:hint="eastAsia" w:ascii="宋体" w:hAnsi="宋体" w:cs="宋体"/>
          <w:color w:val="000000" w:themeColor="text1"/>
          <w:kern w:val="21"/>
          <w:szCs w:val="21"/>
          <w:highlight w:val="none"/>
          <w14:textFill>
            <w14:solidFill>
              <w14:schemeClr w14:val="tx1"/>
            </w14:solidFill>
          </w14:textFill>
        </w:rPr>
        <w:t>。</w:t>
      </w:r>
    </w:p>
    <w:p w14:paraId="3A7E3D28">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6.1.4 关于治安保卫的特别约定：承包人应遵守发包人治安保安相关制度和要求，统一管理施工场地的治安保卫事项，履行合同工程的治安保卫职责，施工安全责任由承包人负责。</w:t>
      </w:r>
    </w:p>
    <w:p w14:paraId="2928A250">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关于编制施工场地治安管理计划的约定：</w:t>
      </w:r>
      <w:r>
        <w:rPr>
          <w:rFonts w:hint="eastAsia" w:ascii="宋体" w:hAnsi="宋体" w:cs="宋体"/>
          <w:color w:val="000000" w:themeColor="text1"/>
          <w:kern w:val="21"/>
          <w:szCs w:val="21"/>
          <w:highlight w:val="none"/>
          <w:u w:val="single"/>
          <w14:textFill>
            <w14:solidFill>
              <w14:schemeClr w14:val="tx1"/>
            </w14:solidFill>
          </w14:textFill>
        </w:rPr>
        <w:t>承包人编制，发包人、监理人审核</w:t>
      </w:r>
      <w:r>
        <w:rPr>
          <w:rFonts w:hint="eastAsia" w:ascii="宋体" w:hAnsi="宋体" w:cs="宋体"/>
          <w:color w:val="000000" w:themeColor="text1"/>
          <w:kern w:val="21"/>
          <w:szCs w:val="21"/>
          <w:highlight w:val="none"/>
          <w14:textFill>
            <w14:solidFill>
              <w14:schemeClr w14:val="tx1"/>
            </w14:solidFill>
          </w14:textFill>
        </w:rPr>
        <w:t>。</w:t>
      </w:r>
    </w:p>
    <w:p w14:paraId="78E33D98">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6.1.5 文明施工</w:t>
      </w:r>
    </w:p>
    <w:p w14:paraId="5CE2A49B">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合同当事人对文明施工的要求：</w:t>
      </w:r>
      <w:r>
        <w:rPr>
          <w:rFonts w:hint="eastAsia" w:ascii="宋体" w:hAnsi="宋体" w:cs="宋体"/>
          <w:color w:val="000000" w:themeColor="text1"/>
          <w:kern w:val="21"/>
          <w:szCs w:val="21"/>
          <w:highlight w:val="none"/>
          <w:u w:val="single"/>
          <w14:textFill>
            <w14:solidFill>
              <w14:schemeClr w14:val="tx1"/>
            </w14:solidFill>
          </w14:textFill>
        </w:rPr>
        <w:t xml:space="preserve"> 达到国家强制要求规定，以及发包人规定要求。</w:t>
      </w:r>
    </w:p>
    <w:p w14:paraId="5E10FF8C">
      <w:pPr>
        <w:pStyle w:val="4"/>
        <w:tabs>
          <w:tab w:val="left" w:pos="864"/>
        </w:tabs>
        <w:spacing w:before="120" w:after="120" w:line="480" w:lineRule="exact"/>
        <w:textAlignment w:val="auto"/>
        <w:rPr>
          <w:rFonts w:ascii="宋体" w:hAnsi="宋体" w:cs="宋体"/>
          <w:b w:val="0"/>
          <w:color w:val="000000" w:themeColor="text1"/>
          <w:kern w:val="21"/>
          <w:sz w:val="21"/>
          <w:szCs w:val="21"/>
          <w:highlight w:val="none"/>
          <w14:textFill>
            <w14:solidFill>
              <w14:schemeClr w14:val="tx1"/>
            </w14:solidFill>
          </w14:textFill>
        </w:rPr>
      </w:pPr>
      <w:r>
        <w:rPr>
          <w:rFonts w:hint="eastAsia" w:ascii="宋体" w:hAnsi="宋体" w:cs="宋体"/>
          <w:b w:val="0"/>
          <w:color w:val="000000" w:themeColor="text1"/>
          <w:kern w:val="21"/>
          <w:sz w:val="21"/>
          <w:szCs w:val="21"/>
          <w:highlight w:val="none"/>
          <w14:textFill>
            <w14:solidFill>
              <w14:schemeClr w14:val="tx1"/>
            </w14:solidFill>
          </w14:textFill>
        </w:rPr>
        <w:t>7. 工期和进度</w:t>
      </w:r>
      <w:bookmarkEnd w:id="158"/>
    </w:p>
    <w:p w14:paraId="0BF22459">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7.1 施工组织设计</w:t>
      </w:r>
    </w:p>
    <w:p w14:paraId="062D692F">
      <w:pPr>
        <w:autoSpaceDE w:val="0"/>
        <w:autoSpaceDN w:val="0"/>
        <w:adjustRightInd w:val="0"/>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7.1.1 合同当事人约定的施工组织设计应包括的其他内容：</w:t>
      </w:r>
      <w:r>
        <w:rPr>
          <w:rFonts w:hint="eastAsia" w:ascii="宋体" w:hAnsi="宋体" w:cs="宋体"/>
          <w:color w:val="000000" w:themeColor="text1"/>
          <w:kern w:val="21"/>
          <w:szCs w:val="21"/>
          <w:highlight w:val="none"/>
          <w:u w:val="single"/>
          <w14:textFill>
            <w14:solidFill>
              <w14:schemeClr w14:val="tx1"/>
            </w14:solidFill>
          </w14:textFill>
        </w:rPr>
        <w:t xml:space="preserve"> 执行通用条款</w:t>
      </w:r>
      <w:r>
        <w:rPr>
          <w:rFonts w:hint="eastAsia" w:ascii="宋体" w:hAnsi="宋体" w:cs="宋体"/>
          <w:color w:val="000000" w:themeColor="text1"/>
          <w:kern w:val="21"/>
          <w:szCs w:val="21"/>
          <w:highlight w:val="none"/>
          <w14:textFill>
            <w14:solidFill>
              <w14:schemeClr w14:val="tx1"/>
            </w14:solidFill>
          </w14:textFill>
        </w:rPr>
        <w:t>。</w:t>
      </w:r>
    </w:p>
    <w:p w14:paraId="49EED14C">
      <w:pPr>
        <w:autoSpaceDE w:val="0"/>
        <w:autoSpaceDN w:val="0"/>
        <w:adjustRightInd w:val="0"/>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7.1.2 施工组织设计的提交和修改</w:t>
      </w:r>
    </w:p>
    <w:p w14:paraId="09CC2322">
      <w:pPr>
        <w:autoSpaceDE w:val="0"/>
        <w:autoSpaceDN w:val="0"/>
        <w:adjustRightInd w:val="0"/>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承包人提交详细施工组织设计的期限的约定：</w:t>
      </w:r>
      <w:r>
        <w:rPr>
          <w:rFonts w:hint="eastAsia" w:ascii="宋体" w:hAnsi="宋体" w:cs="宋体"/>
          <w:color w:val="000000" w:themeColor="text1"/>
          <w:kern w:val="21"/>
          <w:szCs w:val="21"/>
          <w:highlight w:val="none"/>
          <w:u w:val="single"/>
          <w14:textFill>
            <w14:solidFill>
              <w14:schemeClr w14:val="tx1"/>
            </w14:solidFill>
          </w14:textFill>
        </w:rPr>
        <w:t xml:space="preserve">开工前7天 </w:t>
      </w:r>
      <w:r>
        <w:rPr>
          <w:rFonts w:hint="eastAsia" w:ascii="宋体" w:hAnsi="宋体" w:cs="宋体"/>
          <w:color w:val="000000" w:themeColor="text1"/>
          <w:kern w:val="21"/>
          <w:szCs w:val="21"/>
          <w:highlight w:val="none"/>
          <w14:textFill>
            <w14:solidFill>
              <w14:schemeClr w14:val="tx1"/>
            </w14:solidFill>
          </w14:textFill>
        </w:rPr>
        <w:t>。</w:t>
      </w:r>
    </w:p>
    <w:p w14:paraId="5407FF3B">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发包人和监理人在收到详细的施工组织设计后确认或提出修改意见的期限：</w:t>
      </w:r>
      <w:r>
        <w:rPr>
          <w:rFonts w:hint="eastAsia" w:ascii="宋体" w:hAnsi="宋体" w:cs="宋体"/>
          <w:color w:val="000000" w:themeColor="text1"/>
          <w:kern w:val="21"/>
          <w:szCs w:val="21"/>
          <w:highlight w:val="none"/>
          <w:u w:val="single"/>
          <w14:textFill>
            <w14:solidFill>
              <w14:schemeClr w14:val="tx1"/>
            </w14:solidFill>
          </w14:textFill>
        </w:rPr>
        <w:t>7天内</w:t>
      </w:r>
      <w:r>
        <w:rPr>
          <w:rFonts w:hint="eastAsia" w:ascii="宋体" w:hAnsi="宋体" w:cs="宋体"/>
          <w:color w:val="000000" w:themeColor="text1"/>
          <w:kern w:val="21"/>
          <w:szCs w:val="21"/>
          <w:highlight w:val="none"/>
          <w14:textFill>
            <w14:solidFill>
              <w14:schemeClr w14:val="tx1"/>
            </w14:solidFill>
          </w14:textFill>
        </w:rPr>
        <w:t>。</w:t>
      </w:r>
    </w:p>
    <w:p w14:paraId="754CB0BC">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7</w:t>
      </w:r>
      <w:bookmarkStart w:id="159" w:name="_Toc297216173"/>
      <w:bookmarkStart w:id="160" w:name="_Toc297123514"/>
      <w:bookmarkStart w:id="161" w:name="_Toc304295541"/>
      <w:bookmarkStart w:id="162" w:name="_Toc312677479"/>
      <w:bookmarkStart w:id="163" w:name="_Toc300934966"/>
      <w:bookmarkStart w:id="164" w:name="_Toc312678005"/>
      <w:bookmarkStart w:id="165" w:name="_Toc303539123"/>
      <w:r>
        <w:rPr>
          <w:rFonts w:hint="eastAsia" w:ascii="宋体" w:hAnsi="宋体" w:cs="宋体"/>
          <w:color w:val="000000" w:themeColor="text1"/>
          <w:kern w:val="21"/>
          <w:szCs w:val="21"/>
          <w:highlight w:val="none"/>
          <w14:textFill>
            <w14:solidFill>
              <w14:schemeClr w14:val="tx1"/>
            </w14:solidFill>
          </w14:textFill>
        </w:rPr>
        <w:t>.2 施工进度计划</w:t>
      </w:r>
    </w:p>
    <w:p w14:paraId="182BF5AE">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7.2.2 施工进度计划的修订</w:t>
      </w:r>
    </w:p>
    <w:p w14:paraId="535AEB94">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发包人和监理人在收到修订的施工进度计划后确认或提出修改意见的期限：</w:t>
      </w:r>
      <w:r>
        <w:rPr>
          <w:rFonts w:hint="eastAsia" w:ascii="宋体" w:hAnsi="宋体" w:cs="宋体"/>
          <w:color w:val="000000" w:themeColor="text1"/>
          <w:kern w:val="21"/>
          <w:szCs w:val="21"/>
          <w:highlight w:val="none"/>
          <w:u w:val="single"/>
          <w14:textFill>
            <w14:solidFill>
              <w14:schemeClr w14:val="tx1"/>
            </w14:solidFill>
          </w14:textFill>
        </w:rPr>
        <w:t xml:space="preserve">7天内 </w:t>
      </w:r>
      <w:r>
        <w:rPr>
          <w:rFonts w:hint="eastAsia" w:ascii="宋体" w:hAnsi="宋体" w:cs="宋体"/>
          <w:color w:val="000000" w:themeColor="text1"/>
          <w:kern w:val="21"/>
          <w:szCs w:val="21"/>
          <w:highlight w:val="none"/>
          <w14:textFill>
            <w14:solidFill>
              <w14:schemeClr w14:val="tx1"/>
            </w14:solidFill>
          </w14:textFill>
        </w:rPr>
        <w:t>。</w:t>
      </w:r>
    </w:p>
    <w:p w14:paraId="36EF4B02">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7.3 开工</w:t>
      </w:r>
    </w:p>
    <w:p w14:paraId="27FD4617">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7.3.1 开工准备</w:t>
      </w:r>
    </w:p>
    <w:p w14:paraId="28ADD618">
      <w:pPr>
        <w:spacing w:line="480" w:lineRule="exact"/>
        <w:ind w:firstLine="420" w:firstLineChars="200"/>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关于承包人提交工程开工报审表的期限：</w:t>
      </w:r>
      <w:r>
        <w:rPr>
          <w:rFonts w:hint="eastAsia" w:ascii="宋体" w:hAnsi="宋体" w:cs="宋体"/>
          <w:color w:val="000000" w:themeColor="text1"/>
          <w:kern w:val="21"/>
          <w:szCs w:val="21"/>
          <w:highlight w:val="none"/>
          <w:u w:val="single"/>
          <w14:textFill>
            <w14:solidFill>
              <w14:schemeClr w14:val="tx1"/>
            </w14:solidFill>
          </w14:textFill>
        </w:rPr>
        <w:t xml:space="preserve">监理单位要求后的7天内   </w:t>
      </w:r>
      <w:r>
        <w:rPr>
          <w:rFonts w:hint="eastAsia" w:ascii="宋体" w:hAnsi="宋体" w:cs="宋体"/>
          <w:color w:val="000000" w:themeColor="text1"/>
          <w:kern w:val="21"/>
          <w:szCs w:val="21"/>
          <w:highlight w:val="none"/>
          <w14:textFill>
            <w14:solidFill>
              <w14:schemeClr w14:val="tx1"/>
            </w14:solidFill>
          </w14:textFill>
        </w:rPr>
        <w:t>。</w:t>
      </w:r>
    </w:p>
    <w:p w14:paraId="53DE0674">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关于发包人应完成的其他开工准备工作及期限：</w:t>
      </w:r>
      <w:r>
        <w:rPr>
          <w:rFonts w:hint="eastAsia" w:ascii="宋体" w:hAnsi="宋体" w:cs="宋体"/>
          <w:color w:val="000000" w:themeColor="text1"/>
          <w:kern w:val="21"/>
          <w:szCs w:val="21"/>
          <w:highlight w:val="none"/>
          <w:u w:val="single"/>
          <w14:textFill>
            <w14:solidFill>
              <w14:schemeClr w14:val="tx1"/>
            </w14:solidFill>
          </w14:textFill>
        </w:rPr>
        <w:t>承包人进场之前的15天内</w:t>
      </w:r>
      <w:r>
        <w:rPr>
          <w:rFonts w:hint="eastAsia" w:ascii="宋体" w:hAnsi="宋体" w:cs="宋体"/>
          <w:color w:val="000000" w:themeColor="text1"/>
          <w:kern w:val="21"/>
          <w:szCs w:val="21"/>
          <w:highlight w:val="none"/>
          <w14:textFill>
            <w14:solidFill>
              <w14:schemeClr w14:val="tx1"/>
            </w14:solidFill>
          </w14:textFill>
        </w:rPr>
        <w:t>。</w:t>
      </w:r>
    </w:p>
    <w:p w14:paraId="2FE15910">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关于承包人应完成的其他开工准备工作及期限：</w:t>
      </w:r>
      <w:r>
        <w:rPr>
          <w:rFonts w:hint="eastAsia" w:ascii="宋体" w:hAnsi="宋体" w:cs="宋体"/>
          <w:color w:val="000000" w:themeColor="text1"/>
          <w:kern w:val="21"/>
          <w:szCs w:val="21"/>
          <w:highlight w:val="none"/>
          <w:u w:val="single"/>
          <w14:textFill>
            <w14:solidFill>
              <w14:schemeClr w14:val="tx1"/>
            </w14:solidFill>
          </w14:textFill>
        </w:rPr>
        <w:t xml:space="preserve">正式进场前的7天内     </w:t>
      </w:r>
      <w:r>
        <w:rPr>
          <w:rFonts w:hint="eastAsia" w:ascii="宋体" w:hAnsi="宋体" w:cs="宋体"/>
          <w:color w:val="000000" w:themeColor="text1"/>
          <w:kern w:val="21"/>
          <w:szCs w:val="21"/>
          <w:highlight w:val="none"/>
          <w14:textFill>
            <w14:solidFill>
              <w14:schemeClr w14:val="tx1"/>
            </w14:solidFill>
          </w14:textFill>
        </w:rPr>
        <w:t>。</w:t>
      </w:r>
    </w:p>
    <w:p w14:paraId="6C795522">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7.3.2开工通知</w:t>
      </w:r>
    </w:p>
    <w:p w14:paraId="424F1539">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因发包人原因造成监理人未能在计划开工日期之日起</w:t>
      </w:r>
      <w:r>
        <w:rPr>
          <w:rFonts w:hint="eastAsia" w:ascii="宋体" w:hAnsi="宋体" w:cs="宋体"/>
          <w:color w:val="000000" w:themeColor="text1"/>
          <w:kern w:val="21"/>
          <w:szCs w:val="21"/>
          <w:highlight w:val="none"/>
          <w:u w:val="single"/>
          <w14:textFill>
            <w14:solidFill>
              <w14:schemeClr w14:val="tx1"/>
            </w14:solidFill>
          </w14:textFill>
        </w:rPr>
        <w:t xml:space="preserve"> 10 </w:t>
      </w:r>
      <w:r>
        <w:rPr>
          <w:rFonts w:hint="eastAsia" w:ascii="宋体" w:hAnsi="宋体" w:cs="宋体"/>
          <w:color w:val="000000" w:themeColor="text1"/>
          <w:kern w:val="21"/>
          <w:szCs w:val="21"/>
          <w:highlight w:val="none"/>
          <w14:textFill>
            <w14:solidFill>
              <w14:schemeClr w14:val="tx1"/>
            </w14:solidFill>
          </w14:textFill>
        </w:rPr>
        <w:t>天内发出开工通知的，承包人有权提出价格调整要求，或者解除合同。</w:t>
      </w:r>
    </w:p>
    <w:bookmarkEnd w:id="159"/>
    <w:bookmarkEnd w:id="160"/>
    <w:bookmarkEnd w:id="161"/>
    <w:bookmarkEnd w:id="162"/>
    <w:bookmarkEnd w:id="163"/>
    <w:bookmarkEnd w:id="164"/>
    <w:bookmarkEnd w:id="165"/>
    <w:p w14:paraId="7E243105">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7.4 测量放线</w:t>
      </w:r>
    </w:p>
    <w:p w14:paraId="361FE939">
      <w:pPr>
        <w:spacing w:line="480" w:lineRule="exact"/>
        <w:ind w:firstLine="420" w:firstLineChars="200"/>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7.4.1发包人通过监理人向承包人提供测量基准点、基准线和水准点及其书面资料的期限：</w:t>
      </w:r>
      <w:r>
        <w:rPr>
          <w:rFonts w:hint="eastAsia" w:ascii="宋体" w:hAnsi="宋体" w:cs="宋体"/>
          <w:color w:val="000000" w:themeColor="text1"/>
          <w:kern w:val="21"/>
          <w:szCs w:val="21"/>
          <w:highlight w:val="none"/>
          <w:u w:val="single"/>
          <w14:textFill>
            <w14:solidFill>
              <w14:schemeClr w14:val="tx1"/>
            </w14:solidFill>
          </w14:textFill>
        </w:rPr>
        <w:t>承包人进场后的15天内</w:t>
      </w:r>
      <w:r>
        <w:rPr>
          <w:rFonts w:hint="eastAsia" w:ascii="宋体" w:hAnsi="宋体" w:cs="宋体"/>
          <w:color w:val="000000" w:themeColor="text1"/>
          <w:kern w:val="21"/>
          <w:szCs w:val="21"/>
          <w:highlight w:val="none"/>
          <w14:textFill>
            <w14:solidFill>
              <w14:schemeClr w14:val="tx1"/>
            </w14:solidFill>
          </w14:textFill>
        </w:rPr>
        <w:t>。</w:t>
      </w:r>
    </w:p>
    <w:p w14:paraId="155AAF22">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7</w:t>
      </w:r>
      <w:bookmarkStart w:id="166" w:name="_Toc303539125"/>
      <w:bookmarkStart w:id="167" w:name="_Toc312678010"/>
      <w:bookmarkStart w:id="168" w:name="_Toc297216175"/>
      <w:bookmarkStart w:id="169" w:name="_Toc312677484"/>
      <w:bookmarkStart w:id="170" w:name="_Toc297123516"/>
      <w:bookmarkStart w:id="171" w:name="_Toc300934968"/>
      <w:bookmarkStart w:id="172" w:name="_Toc304295546"/>
      <w:r>
        <w:rPr>
          <w:rFonts w:hint="eastAsia" w:ascii="宋体" w:hAnsi="宋体" w:cs="宋体"/>
          <w:color w:val="000000" w:themeColor="text1"/>
          <w:kern w:val="21"/>
          <w:szCs w:val="21"/>
          <w:highlight w:val="none"/>
          <w14:textFill>
            <w14:solidFill>
              <w14:schemeClr w14:val="tx1"/>
            </w14:solidFill>
          </w14:textFill>
        </w:rPr>
        <w:t>.5 工期延误</w:t>
      </w:r>
    </w:p>
    <w:bookmarkEnd w:id="166"/>
    <w:bookmarkEnd w:id="167"/>
    <w:bookmarkEnd w:id="168"/>
    <w:bookmarkEnd w:id="169"/>
    <w:bookmarkEnd w:id="170"/>
    <w:bookmarkEnd w:id="171"/>
    <w:bookmarkEnd w:id="172"/>
    <w:p w14:paraId="4C375820">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7.5.1 因发包人原因导致工期延误</w:t>
      </w:r>
    </w:p>
    <w:p w14:paraId="127B1E1F">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因发包人原因导致工期延误的其他情形：</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p w14:paraId="53B3E656">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7</w:t>
      </w:r>
      <w:bookmarkStart w:id="173" w:name="_Toc318581169"/>
      <w:bookmarkStart w:id="174" w:name="_Toc312678012"/>
      <w:bookmarkStart w:id="175" w:name="_Toc312677486"/>
      <w:bookmarkStart w:id="176" w:name="_Toc300934970"/>
      <w:bookmarkStart w:id="177" w:name="_Toc303539127"/>
      <w:bookmarkStart w:id="178" w:name="_Toc304295548"/>
      <w:bookmarkStart w:id="179" w:name="_Toc297123518"/>
      <w:bookmarkStart w:id="180" w:name="_Toc297216177"/>
      <w:r>
        <w:rPr>
          <w:rFonts w:hint="eastAsia" w:ascii="宋体" w:hAnsi="宋体" w:cs="宋体"/>
          <w:color w:val="000000" w:themeColor="text1"/>
          <w:kern w:val="21"/>
          <w:szCs w:val="21"/>
          <w:highlight w:val="none"/>
          <w14:textFill>
            <w14:solidFill>
              <w14:schemeClr w14:val="tx1"/>
            </w14:solidFill>
          </w14:textFill>
        </w:rPr>
        <w:t>.5.2 因承包人原因导致工期延误</w:t>
      </w:r>
    </w:p>
    <w:bookmarkEnd w:id="173"/>
    <w:bookmarkEnd w:id="174"/>
    <w:bookmarkEnd w:id="175"/>
    <w:p w14:paraId="2C493797">
      <w:pPr>
        <w:spacing w:line="480" w:lineRule="exact"/>
        <w:ind w:firstLine="420" w:firstLineChars="200"/>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因</w:t>
      </w:r>
      <w:bookmarkStart w:id="181" w:name="_Toc312678013"/>
      <w:bookmarkStart w:id="182" w:name="_Toc312677487"/>
      <w:bookmarkStart w:id="183" w:name="_Toc318581170"/>
      <w:r>
        <w:rPr>
          <w:rFonts w:hint="eastAsia" w:ascii="宋体" w:hAnsi="宋体" w:cs="宋体"/>
          <w:color w:val="000000" w:themeColor="text1"/>
          <w:kern w:val="21"/>
          <w:szCs w:val="21"/>
          <w:highlight w:val="none"/>
          <w14:textFill>
            <w14:solidFill>
              <w14:schemeClr w14:val="tx1"/>
            </w14:solidFill>
          </w14:textFill>
        </w:rPr>
        <w:t>承包人原因造成工期延误，逾期竣工违约金的计算方法为：</w:t>
      </w:r>
    </w:p>
    <w:p w14:paraId="14D290C0">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u w:val="single"/>
          <w14:textFill>
            <w14:solidFill>
              <w14:schemeClr w14:val="tx1"/>
            </w14:solidFill>
          </w14:textFill>
        </w:rPr>
        <w:t xml:space="preserve">因承包人原因总工期每推迟一天处罚1000元/天 </w:t>
      </w:r>
      <w:r>
        <w:rPr>
          <w:rFonts w:hint="eastAsia" w:ascii="宋体" w:hAnsi="宋体" w:cs="宋体"/>
          <w:color w:val="000000" w:themeColor="text1"/>
          <w:kern w:val="21"/>
          <w:szCs w:val="21"/>
          <w:highlight w:val="none"/>
          <w14:textFill>
            <w14:solidFill>
              <w14:schemeClr w14:val="tx1"/>
            </w14:solidFill>
          </w14:textFill>
        </w:rPr>
        <w:t>。</w:t>
      </w:r>
      <w:bookmarkEnd w:id="176"/>
      <w:bookmarkEnd w:id="177"/>
      <w:bookmarkEnd w:id="178"/>
      <w:bookmarkEnd w:id="179"/>
      <w:bookmarkEnd w:id="180"/>
      <w:bookmarkEnd w:id="181"/>
      <w:bookmarkEnd w:id="182"/>
    </w:p>
    <w:bookmarkEnd w:id="183"/>
    <w:p w14:paraId="28D5F079">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因承包人原因造成工期延误，逾</w:t>
      </w:r>
      <w:bookmarkStart w:id="184" w:name="_Toc318581171"/>
      <w:bookmarkStart w:id="185" w:name="_Toc312678014"/>
      <w:r>
        <w:rPr>
          <w:rFonts w:hint="eastAsia" w:ascii="宋体" w:hAnsi="宋体" w:cs="宋体"/>
          <w:color w:val="000000" w:themeColor="text1"/>
          <w:kern w:val="21"/>
          <w:szCs w:val="21"/>
          <w:highlight w:val="none"/>
          <w14:textFill>
            <w14:solidFill>
              <w14:schemeClr w14:val="tx1"/>
            </w14:solidFill>
          </w14:textFill>
        </w:rPr>
        <w:t>期竣工违约金的上限：</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bookmarkEnd w:id="184"/>
    <w:bookmarkEnd w:id="185"/>
    <w:p w14:paraId="371FCCA2">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7</w:t>
      </w:r>
      <w:bookmarkStart w:id="186" w:name="_Toc300934971"/>
      <w:bookmarkStart w:id="187" w:name="_Toc304295549"/>
      <w:bookmarkStart w:id="188" w:name="_Toc312678015"/>
      <w:bookmarkStart w:id="189" w:name="_Toc303539128"/>
      <w:bookmarkStart w:id="190" w:name="_Toc297123519"/>
      <w:bookmarkStart w:id="191" w:name="_Toc297216178"/>
      <w:r>
        <w:rPr>
          <w:rFonts w:hint="eastAsia" w:ascii="宋体" w:hAnsi="宋体" w:cs="宋体"/>
          <w:color w:val="000000" w:themeColor="text1"/>
          <w:kern w:val="21"/>
          <w:szCs w:val="21"/>
          <w:highlight w:val="none"/>
          <w14:textFill>
            <w14:solidFill>
              <w14:schemeClr w14:val="tx1"/>
            </w14:solidFill>
          </w14:textFill>
        </w:rPr>
        <w:t>.6 不</w:t>
      </w:r>
      <w:bookmarkEnd w:id="186"/>
      <w:bookmarkEnd w:id="187"/>
      <w:bookmarkEnd w:id="188"/>
      <w:bookmarkEnd w:id="189"/>
      <w:bookmarkEnd w:id="190"/>
      <w:bookmarkEnd w:id="191"/>
      <w:r>
        <w:rPr>
          <w:rFonts w:hint="eastAsia" w:ascii="宋体" w:hAnsi="宋体" w:cs="宋体"/>
          <w:color w:val="000000" w:themeColor="text1"/>
          <w:kern w:val="21"/>
          <w:szCs w:val="21"/>
          <w:highlight w:val="none"/>
          <w14:textFill>
            <w14:solidFill>
              <w14:schemeClr w14:val="tx1"/>
            </w14:solidFill>
          </w14:textFill>
        </w:rPr>
        <w:t>利物质条件</w:t>
      </w:r>
    </w:p>
    <w:p w14:paraId="0DB59106">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bookmarkStart w:id="192" w:name="_Toc303539129"/>
      <w:bookmarkStart w:id="193" w:name="_Toc318581172"/>
      <w:bookmarkStart w:id="194" w:name="_Toc304295550"/>
      <w:bookmarkStart w:id="195" w:name="_Toc300934972"/>
      <w:bookmarkStart w:id="196" w:name="_Toc297216179"/>
      <w:bookmarkStart w:id="197" w:name="_Toc312678016"/>
      <w:bookmarkStart w:id="198" w:name="_Toc297123520"/>
      <w:r>
        <w:rPr>
          <w:rFonts w:hint="eastAsia" w:ascii="宋体" w:hAnsi="宋体" w:cs="宋体"/>
          <w:color w:val="000000" w:themeColor="text1"/>
          <w:kern w:val="21"/>
          <w:szCs w:val="21"/>
          <w:highlight w:val="none"/>
          <w14:textFill>
            <w14:solidFill>
              <w14:schemeClr w14:val="tx1"/>
            </w14:solidFill>
          </w14:textFill>
        </w:rPr>
        <w:t>不利物质条件的其他情形和有关约定：</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p>
    <w:bookmarkEnd w:id="192"/>
    <w:bookmarkEnd w:id="193"/>
    <w:bookmarkEnd w:id="194"/>
    <w:bookmarkEnd w:id="195"/>
    <w:bookmarkEnd w:id="196"/>
    <w:bookmarkEnd w:id="197"/>
    <w:bookmarkEnd w:id="198"/>
    <w:p w14:paraId="342FE155">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7</w:t>
      </w:r>
      <w:bookmarkStart w:id="199" w:name="_Toc300934973"/>
      <w:bookmarkStart w:id="200" w:name="_Toc303539130"/>
      <w:bookmarkStart w:id="201" w:name="_Toc304295551"/>
      <w:bookmarkStart w:id="202" w:name="_Toc297216180"/>
      <w:bookmarkStart w:id="203" w:name="_Toc312678017"/>
      <w:bookmarkStart w:id="204" w:name="_Toc297123521"/>
      <w:r>
        <w:rPr>
          <w:rFonts w:hint="eastAsia" w:ascii="宋体" w:hAnsi="宋体" w:cs="宋体"/>
          <w:color w:val="000000" w:themeColor="text1"/>
          <w:kern w:val="21"/>
          <w:szCs w:val="21"/>
          <w:highlight w:val="none"/>
          <w14:textFill>
            <w14:solidFill>
              <w14:schemeClr w14:val="tx1"/>
            </w14:solidFill>
          </w14:textFill>
        </w:rPr>
        <w:t>.7异常恶劣的气候条件</w:t>
      </w:r>
    </w:p>
    <w:bookmarkEnd w:id="199"/>
    <w:bookmarkEnd w:id="200"/>
    <w:bookmarkEnd w:id="201"/>
    <w:bookmarkEnd w:id="202"/>
    <w:bookmarkEnd w:id="203"/>
    <w:bookmarkEnd w:id="204"/>
    <w:p w14:paraId="3BE61F2C">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发包人和承包人同意以下情形视为异常恶劣的气候条件：</w:t>
      </w:r>
    </w:p>
    <w:p w14:paraId="7CFECB1B">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p w14:paraId="23D0CA10">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（2）</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p w14:paraId="5262BB7C">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p w14:paraId="70F073A1">
      <w:pPr>
        <w:spacing w:after="120" w:line="480" w:lineRule="exact"/>
        <w:ind w:firstLine="420" w:firstLineChars="200"/>
        <w:outlineLvl w:val="0"/>
        <w:rPr>
          <w:rFonts w:ascii="宋体" w:hAnsi="宋体" w:cs="宋体"/>
          <w:color w:val="000000" w:themeColor="text1"/>
          <w:kern w:val="21"/>
          <w:szCs w:val="21"/>
          <w:highlight w:val="none"/>
          <w14:textFill>
            <w14:solidFill>
              <w14:schemeClr w14:val="tx1"/>
            </w14:solidFill>
          </w14:textFill>
        </w:rPr>
      </w:pPr>
      <w:bookmarkStart w:id="205" w:name="_Toc4664"/>
      <w:r>
        <w:rPr>
          <w:rFonts w:hint="eastAsia" w:ascii="宋体" w:hAnsi="宋体" w:cs="宋体"/>
          <w:color w:val="000000" w:themeColor="text1"/>
          <w:kern w:val="21"/>
          <w:szCs w:val="21"/>
          <w:highlight w:val="none"/>
          <w14:textFill>
            <w14:solidFill>
              <w14:schemeClr w14:val="tx1"/>
            </w14:solidFill>
          </w14:textFill>
        </w:rPr>
        <w:t>7.9 提前竣工的奖励</w:t>
      </w:r>
      <w:bookmarkEnd w:id="205"/>
    </w:p>
    <w:p w14:paraId="3093AF41">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7.9.2提前竣工的奖励：</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p>
    <w:p w14:paraId="40132C59">
      <w:pPr>
        <w:pStyle w:val="4"/>
        <w:tabs>
          <w:tab w:val="left" w:pos="864"/>
        </w:tabs>
        <w:spacing w:before="120" w:after="120" w:line="480" w:lineRule="exact"/>
        <w:textAlignment w:val="auto"/>
        <w:rPr>
          <w:rFonts w:ascii="宋体" w:hAnsi="宋体" w:cs="宋体"/>
          <w:b w:val="0"/>
          <w:color w:val="000000" w:themeColor="text1"/>
          <w:kern w:val="21"/>
          <w:sz w:val="21"/>
          <w:szCs w:val="21"/>
          <w:highlight w:val="none"/>
          <w14:textFill>
            <w14:solidFill>
              <w14:schemeClr w14:val="tx1"/>
            </w14:solidFill>
          </w14:textFill>
        </w:rPr>
      </w:pPr>
      <w:bookmarkStart w:id="206" w:name="_Toc351203640"/>
      <w:r>
        <w:rPr>
          <w:rFonts w:hint="eastAsia" w:ascii="宋体" w:hAnsi="宋体" w:cs="宋体"/>
          <w:b w:val="0"/>
          <w:color w:val="000000" w:themeColor="text1"/>
          <w:kern w:val="21"/>
          <w:sz w:val="21"/>
          <w:szCs w:val="21"/>
          <w:highlight w:val="none"/>
          <w14:textFill>
            <w14:solidFill>
              <w14:schemeClr w14:val="tx1"/>
            </w14:solidFill>
          </w14:textFill>
        </w:rPr>
        <w:t>8. 材料与设备</w:t>
      </w:r>
      <w:bookmarkEnd w:id="206"/>
    </w:p>
    <w:bookmarkEnd w:id="138"/>
    <w:bookmarkEnd w:id="139"/>
    <w:bookmarkEnd w:id="140"/>
    <w:bookmarkEnd w:id="141"/>
    <w:bookmarkEnd w:id="142"/>
    <w:bookmarkEnd w:id="143"/>
    <w:bookmarkEnd w:id="144"/>
    <w:bookmarkEnd w:id="145"/>
    <w:bookmarkEnd w:id="146"/>
    <w:bookmarkEnd w:id="147"/>
    <w:p w14:paraId="1BC0CC3B">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8</w:t>
      </w:r>
      <w:bookmarkStart w:id="207" w:name="_Toc296503167"/>
      <w:bookmarkStart w:id="208" w:name="_Toc297048353"/>
      <w:bookmarkStart w:id="209" w:name="_Toc303539136"/>
      <w:bookmarkStart w:id="210" w:name="_Toc296347166"/>
      <w:bookmarkStart w:id="211" w:name="_Toc304295556"/>
      <w:bookmarkStart w:id="212" w:name="_Toc292559372"/>
      <w:bookmarkStart w:id="213" w:name="_Toc296944506"/>
      <w:bookmarkStart w:id="214" w:name="_Toc300934979"/>
      <w:bookmarkStart w:id="215" w:name="_Toc297120467"/>
      <w:bookmarkStart w:id="216" w:name="_Toc312677493"/>
      <w:bookmarkStart w:id="217" w:name="_Toc296891207"/>
      <w:bookmarkStart w:id="218" w:name="_Toc297123527"/>
      <w:bookmarkStart w:id="219" w:name="_Toc280868654"/>
      <w:bookmarkStart w:id="220" w:name="_Toc296346668"/>
      <w:bookmarkStart w:id="221" w:name="_Toc296890995"/>
      <w:bookmarkStart w:id="222" w:name="_Toc312678019"/>
      <w:bookmarkStart w:id="223" w:name="_Toc297216186"/>
      <w:bookmarkStart w:id="224" w:name="_Toc292559877"/>
      <w:bookmarkStart w:id="225" w:name="_Toc280868655"/>
      <w:bookmarkStart w:id="226" w:name="_Toc267251424"/>
      <w:bookmarkStart w:id="227" w:name="_Toc280868656"/>
      <w:r>
        <w:rPr>
          <w:rFonts w:hint="eastAsia" w:ascii="宋体" w:hAnsi="宋体" w:cs="宋体"/>
          <w:color w:val="000000" w:themeColor="text1"/>
          <w:kern w:val="21"/>
          <w:szCs w:val="21"/>
          <w:highlight w:val="none"/>
          <w14:textFill>
            <w14:solidFill>
              <w14:schemeClr w14:val="tx1"/>
            </w14:solidFill>
          </w14:textFill>
        </w:rPr>
        <w:t>.4材料与工程设备的保管与使用</w:t>
      </w:r>
    </w:p>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14:paraId="4AFD8CB3">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8</w:t>
      </w:r>
      <w:bookmarkStart w:id="228" w:name="_Toc292559373"/>
      <w:bookmarkStart w:id="229" w:name="_Toc292559878"/>
      <w:bookmarkStart w:id="230" w:name="_Toc296944507"/>
      <w:bookmarkStart w:id="231" w:name="_Toc296890996"/>
      <w:bookmarkStart w:id="232" w:name="_Toc297216187"/>
      <w:bookmarkStart w:id="233" w:name="_Toc300934980"/>
      <w:bookmarkStart w:id="234" w:name="_Toc296503168"/>
      <w:bookmarkStart w:id="235" w:name="_Toc312677494"/>
      <w:bookmarkStart w:id="236" w:name="_Toc297120468"/>
      <w:bookmarkStart w:id="237" w:name="_Toc296891208"/>
      <w:bookmarkStart w:id="238" w:name="_Toc296346669"/>
      <w:bookmarkStart w:id="239" w:name="_Toc318581173"/>
      <w:bookmarkStart w:id="240" w:name="_Toc312678020"/>
      <w:bookmarkStart w:id="241" w:name="_Toc303539137"/>
      <w:bookmarkStart w:id="242" w:name="_Toc297123528"/>
      <w:bookmarkStart w:id="243" w:name="_Toc304295557"/>
      <w:bookmarkStart w:id="244" w:name="_Toc297048354"/>
      <w:bookmarkStart w:id="245" w:name="_Toc296347167"/>
      <w:r>
        <w:rPr>
          <w:rFonts w:hint="eastAsia" w:ascii="宋体" w:hAnsi="宋体" w:cs="宋体"/>
          <w:color w:val="000000" w:themeColor="text1"/>
          <w:kern w:val="21"/>
          <w:szCs w:val="21"/>
          <w:highlight w:val="none"/>
          <w14:textFill>
            <w14:solidFill>
              <w14:schemeClr w14:val="tx1"/>
            </w14:solidFill>
          </w14:textFill>
        </w:rPr>
        <w:t>.4.1发包人供应的材料设备的保管费用的承担：</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bookmarkEnd w:id="228"/>
      <w:bookmarkEnd w:id="229"/>
    </w:p>
    <w:p w14:paraId="5083D1F1">
      <w:pPr>
        <w:spacing w:after="120" w:line="480" w:lineRule="exact"/>
        <w:ind w:firstLine="420" w:firstLineChars="200"/>
        <w:outlineLvl w:val="0"/>
        <w:rPr>
          <w:rFonts w:ascii="宋体" w:hAnsi="宋体" w:cs="宋体"/>
          <w:color w:val="000000" w:themeColor="text1"/>
          <w:kern w:val="21"/>
          <w:szCs w:val="21"/>
          <w:highlight w:val="none"/>
          <w14:textFill>
            <w14:solidFill>
              <w14:schemeClr w14:val="tx1"/>
            </w14:solidFill>
          </w14:textFill>
        </w:rPr>
      </w:pPr>
      <w:bookmarkStart w:id="246" w:name="_Toc7010"/>
      <w:r>
        <w:rPr>
          <w:rFonts w:hint="eastAsia" w:ascii="宋体" w:hAnsi="宋体" w:cs="宋体"/>
          <w:color w:val="000000" w:themeColor="text1"/>
          <w:kern w:val="21"/>
          <w:szCs w:val="21"/>
          <w:highlight w:val="none"/>
          <w14:textFill>
            <w14:solidFill>
              <w14:schemeClr w14:val="tx1"/>
            </w14:solidFill>
          </w14:textFill>
        </w:rPr>
        <w:t>8.6 样品</w:t>
      </w:r>
      <w:bookmarkEnd w:id="246"/>
    </w:p>
    <w:p w14:paraId="65E9F5E7">
      <w:pPr>
        <w:autoSpaceDE w:val="0"/>
        <w:autoSpaceDN w:val="0"/>
        <w:adjustRightInd w:val="0"/>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8.6.1</w:t>
      </w:r>
      <w:r>
        <w:rPr>
          <w:rFonts w:hint="eastAsia" w:ascii="宋体" w:hAnsi="宋体" w:cs="宋体"/>
          <w:color w:val="000000" w:themeColor="text1"/>
          <w:kern w:val="21"/>
          <w:szCs w:val="21"/>
          <w:highlight w:val="none"/>
          <w14:textFill>
            <w14:solidFill>
              <w14:schemeClr w14:val="tx1"/>
            </w14:solidFill>
          </w14:textFill>
        </w:rPr>
        <w:tab/>
      </w:r>
      <w:r>
        <w:rPr>
          <w:rFonts w:hint="eastAsia" w:ascii="宋体" w:hAnsi="宋体" w:cs="宋体"/>
          <w:color w:val="000000" w:themeColor="text1"/>
          <w:kern w:val="21"/>
          <w:szCs w:val="21"/>
          <w:highlight w:val="none"/>
          <w14:textFill>
            <w14:solidFill>
              <w14:schemeClr w14:val="tx1"/>
            </w14:solidFill>
          </w14:textFill>
        </w:rPr>
        <w:t>样品的报送与封存</w:t>
      </w:r>
    </w:p>
    <w:p w14:paraId="4B2A7FF4">
      <w:pPr>
        <w:autoSpaceDE w:val="0"/>
        <w:autoSpaceDN w:val="0"/>
        <w:adjustRightInd w:val="0"/>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需要承包人报送样品的材料或工程设备，样品的种类、名称、规格、数量要求：</w:t>
      </w:r>
      <w:r>
        <w:rPr>
          <w:rFonts w:hint="eastAsia" w:ascii="宋体" w:hAnsi="宋体" w:cs="宋体"/>
          <w:color w:val="000000" w:themeColor="text1"/>
          <w:kern w:val="21"/>
          <w:szCs w:val="21"/>
          <w:highlight w:val="none"/>
          <w:u w:val="single"/>
          <w14:textFill>
            <w14:solidFill>
              <w14:schemeClr w14:val="tx1"/>
            </w14:solidFill>
          </w14:textFill>
        </w:rPr>
        <w:t>按管理部门要求和发包人需求确定执行</w:t>
      </w:r>
      <w:r>
        <w:rPr>
          <w:rFonts w:hint="eastAsia" w:ascii="宋体" w:hAnsi="宋体" w:cs="宋体"/>
          <w:color w:val="000000" w:themeColor="text1"/>
          <w:kern w:val="21"/>
          <w:szCs w:val="21"/>
          <w:highlight w:val="none"/>
          <w14:textFill>
            <w14:solidFill>
              <w14:schemeClr w14:val="tx1"/>
            </w14:solidFill>
          </w14:textFill>
        </w:rPr>
        <w:t>。</w:t>
      </w:r>
    </w:p>
    <w:p w14:paraId="7D95C5AD">
      <w:pPr>
        <w:spacing w:after="120" w:line="480" w:lineRule="exact"/>
        <w:ind w:firstLine="420" w:firstLineChars="200"/>
        <w:outlineLvl w:val="0"/>
        <w:rPr>
          <w:rFonts w:ascii="宋体" w:hAnsi="宋体" w:cs="宋体"/>
          <w:color w:val="000000" w:themeColor="text1"/>
          <w:kern w:val="21"/>
          <w:szCs w:val="21"/>
          <w:highlight w:val="none"/>
          <w14:textFill>
            <w14:solidFill>
              <w14:schemeClr w14:val="tx1"/>
            </w14:solidFill>
          </w14:textFill>
        </w:rPr>
      </w:pPr>
      <w:bookmarkStart w:id="247" w:name="_Toc23681"/>
      <w:r>
        <w:rPr>
          <w:rFonts w:hint="eastAsia" w:ascii="宋体" w:hAnsi="宋体" w:cs="宋体"/>
          <w:color w:val="000000" w:themeColor="text1"/>
          <w:kern w:val="21"/>
          <w:szCs w:val="21"/>
          <w:highlight w:val="none"/>
          <w14:textFill>
            <w14:solidFill>
              <w14:schemeClr w14:val="tx1"/>
            </w14:solidFill>
          </w14:textFill>
        </w:rPr>
        <w:t>8.8 施工设备和临时设施</w:t>
      </w:r>
      <w:bookmarkEnd w:id="247"/>
    </w:p>
    <w:p w14:paraId="416319F5">
      <w:pPr>
        <w:autoSpaceDE w:val="0"/>
        <w:autoSpaceDN w:val="0"/>
        <w:adjustRightInd w:val="0"/>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8.8.1 承包人提供的施工设备和临时设施</w:t>
      </w:r>
    </w:p>
    <w:p w14:paraId="66974098">
      <w:pPr>
        <w:autoSpaceDE w:val="0"/>
        <w:autoSpaceDN w:val="0"/>
        <w:adjustRightInd w:val="0"/>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关于修建临时设施费用承担的约定：</w:t>
      </w:r>
      <w:r>
        <w:rPr>
          <w:rFonts w:hint="eastAsia" w:ascii="宋体" w:hAnsi="宋体" w:cs="宋体"/>
          <w:color w:val="000000" w:themeColor="text1"/>
          <w:kern w:val="21"/>
          <w:szCs w:val="21"/>
          <w:highlight w:val="none"/>
          <w:u w:val="single"/>
          <w14:textFill>
            <w14:solidFill>
              <w14:schemeClr w14:val="tx1"/>
            </w14:solidFill>
          </w14:textFill>
        </w:rPr>
        <w:t>承包人承担</w:t>
      </w:r>
      <w:r>
        <w:rPr>
          <w:rFonts w:hint="eastAsia" w:ascii="宋体" w:hAnsi="宋体" w:cs="宋体"/>
          <w:color w:val="000000" w:themeColor="text1"/>
          <w:kern w:val="21"/>
          <w:szCs w:val="21"/>
          <w:highlight w:val="none"/>
          <w14:textFill>
            <w14:solidFill>
              <w14:schemeClr w14:val="tx1"/>
            </w14:solidFill>
          </w14:textFill>
        </w:rPr>
        <w:t>。</w:t>
      </w:r>
    </w:p>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14:paraId="56A03707">
      <w:pPr>
        <w:pStyle w:val="4"/>
        <w:tabs>
          <w:tab w:val="left" w:pos="864"/>
        </w:tabs>
        <w:spacing w:before="120" w:after="120" w:line="480" w:lineRule="exact"/>
        <w:textAlignment w:val="auto"/>
        <w:rPr>
          <w:rFonts w:ascii="宋体" w:hAnsi="宋体" w:cs="宋体"/>
          <w:b w:val="0"/>
          <w:color w:val="000000" w:themeColor="text1"/>
          <w:kern w:val="21"/>
          <w:sz w:val="21"/>
          <w:szCs w:val="21"/>
          <w:highlight w:val="none"/>
          <w14:textFill>
            <w14:solidFill>
              <w14:schemeClr w14:val="tx1"/>
            </w14:solidFill>
          </w14:textFill>
        </w:rPr>
      </w:pPr>
      <w:bookmarkStart w:id="248" w:name="_Toc351203641"/>
      <w:r>
        <w:rPr>
          <w:rFonts w:hint="eastAsia" w:ascii="宋体" w:hAnsi="宋体" w:cs="宋体"/>
          <w:b w:val="0"/>
          <w:color w:val="000000" w:themeColor="text1"/>
          <w:kern w:val="21"/>
          <w:sz w:val="21"/>
          <w:szCs w:val="21"/>
          <w:highlight w:val="none"/>
          <w14:textFill>
            <w14:solidFill>
              <w14:schemeClr w14:val="tx1"/>
            </w14:solidFill>
          </w14:textFill>
        </w:rPr>
        <w:t>9</w:t>
      </w:r>
      <w:bookmarkEnd w:id="225"/>
      <w:bookmarkEnd w:id="226"/>
      <w:bookmarkEnd w:id="227"/>
      <w:bookmarkStart w:id="249" w:name="_Toc297123533"/>
      <w:bookmarkStart w:id="250" w:name="_Toc312678021"/>
      <w:bookmarkStart w:id="251" w:name="_Toc304295559"/>
      <w:bookmarkStart w:id="252" w:name="_Toc300934982"/>
      <w:bookmarkStart w:id="253" w:name="_Toc303539139"/>
      <w:bookmarkStart w:id="254" w:name="_Toc312677495"/>
      <w:bookmarkStart w:id="255" w:name="_Toc297216192"/>
      <w:bookmarkStart w:id="256" w:name="_Toc296503173"/>
      <w:bookmarkStart w:id="257" w:name="_Toc297048359"/>
      <w:bookmarkStart w:id="258" w:name="_Toc296944512"/>
      <w:bookmarkStart w:id="259" w:name="_Toc296891213"/>
      <w:bookmarkStart w:id="260" w:name="_Toc267251427"/>
      <w:bookmarkStart w:id="261" w:name="_Toc296346674"/>
      <w:bookmarkStart w:id="262" w:name="_Toc296891001"/>
      <w:bookmarkStart w:id="263" w:name="_Toc297120473"/>
      <w:bookmarkStart w:id="264" w:name="_Toc292559883"/>
      <w:bookmarkStart w:id="265" w:name="_Toc292559378"/>
      <w:bookmarkStart w:id="266" w:name="_Toc267251428"/>
      <w:bookmarkStart w:id="267" w:name="_Toc296347172"/>
      <w:r>
        <w:rPr>
          <w:rFonts w:hint="eastAsia" w:ascii="宋体" w:hAnsi="宋体" w:cs="宋体"/>
          <w:b w:val="0"/>
          <w:color w:val="000000" w:themeColor="text1"/>
          <w:kern w:val="21"/>
          <w:sz w:val="21"/>
          <w:szCs w:val="21"/>
          <w:highlight w:val="none"/>
          <w14:textFill>
            <w14:solidFill>
              <w14:schemeClr w14:val="tx1"/>
            </w14:solidFill>
          </w14:textFill>
        </w:rPr>
        <w:t>. 试验与检验</w:t>
      </w:r>
      <w:bookmarkEnd w:id="248"/>
    </w:p>
    <w:bookmarkEnd w:id="249"/>
    <w:bookmarkEnd w:id="250"/>
    <w:bookmarkEnd w:id="251"/>
    <w:bookmarkEnd w:id="252"/>
    <w:bookmarkEnd w:id="253"/>
    <w:bookmarkEnd w:id="254"/>
    <w:bookmarkEnd w:id="255"/>
    <w:p w14:paraId="12F01AB8">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9</w:t>
      </w:r>
      <w:bookmarkStart w:id="268" w:name="_Toc312677496"/>
      <w:bookmarkStart w:id="269" w:name="_Toc303539140"/>
      <w:bookmarkStart w:id="270" w:name="_Toc312678022"/>
      <w:bookmarkStart w:id="271" w:name="_Toc297123534"/>
      <w:bookmarkStart w:id="272" w:name="_Toc304295560"/>
      <w:bookmarkStart w:id="273" w:name="_Toc297216193"/>
      <w:bookmarkStart w:id="274" w:name="_Toc300934983"/>
      <w:r>
        <w:rPr>
          <w:rFonts w:hint="eastAsia" w:ascii="宋体" w:hAnsi="宋体" w:cs="宋体"/>
          <w:color w:val="000000" w:themeColor="text1"/>
          <w:kern w:val="21"/>
          <w:szCs w:val="21"/>
          <w:highlight w:val="none"/>
          <w14:textFill>
            <w14:solidFill>
              <w14:schemeClr w14:val="tx1"/>
            </w14:solidFill>
          </w14:textFill>
        </w:rPr>
        <w:t>.1试验设备与试验人员</w:t>
      </w:r>
    </w:p>
    <w:bookmarkEnd w:id="268"/>
    <w:bookmarkEnd w:id="269"/>
    <w:bookmarkEnd w:id="270"/>
    <w:bookmarkEnd w:id="271"/>
    <w:bookmarkEnd w:id="272"/>
    <w:bookmarkEnd w:id="273"/>
    <w:bookmarkEnd w:id="274"/>
    <w:p w14:paraId="1565B2DF">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9</w:t>
      </w:r>
      <w:bookmarkStart w:id="275" w:name="_Toc300934984"/>
      <w:bookmarkStart w:id="276" w:name="_Toc297216194"/>
      <w:bookmarkStart w:id="277" w:name="_Toc297123535"/>
      <w:bookmarkStart w:id="278" w:name="_Toc304295561"/>
      <w:bookmarkStart w:id="279" w:name="_Toc312677497"/>
      <w:bookmarkStart w:id="280" w:name="_Toc312678023"/>
      <w:bookmarkStart w:id="281" w:name="_Toc303539141"/>
      <w:bookmarkStart w:id="282" w:name="_Toc318581174"/>
      <w:r>
        <w:rPr>
          <w:rFonts w:hint="eastAsia" w:ascii="宋体" w:hAnsi="宋体" w:cs="宋体"/>
          <w:color w:val="000000" w:themeColor="text1"/>
          <w:kern w:val="21"/>
          <w:szCs w:val="21"/>
          <w:highlight w:val="none"/>
          <w14:textFill>
            <w14:solidFill>
              <w14:schemeClr w14:val="tx1"/>
            </w14:solidFill>
          </w14:textFill>
        </w:rPr>
        <w:t>.1.2 试验设备</w:t>
      </w:r>
    </w:p>
    <w:p w14:paraId="4861E297">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施工现场需要配置的试验场所：</w:t>
      </w:r>
      <w:bookmarkEnd w:id="275"/>
      <w:bookmarkEnd w:id="276"/>
      <w:bookmarkEnd w:id="277"/>
      <w:bookmarkEnd w:id="278"/>
      <w:bookmarkEnd w:id="279"/>
      <w:bookmarkEnd w:id="280"/>
      <w:bookmarkEnd w:id="281"/>
      <w:bookmarkStart w:id="283" w:name="_Toc312678024"/>
      <w:bookmarkStart w:id="284" w:name="_Toc303539142"/>
      <w:bookmarkStart w:id="285" w:name="_Toc297123536"/>
      <w:bookmarkStart w:id="286" w:name="_Toc312677498"/>
      <w:bookmarkStart w:id="287" w:name="_Toc300934985"/>
      <w:bookmarkStart w:id="288" w:name="_Toc304295562"/>
      <w:bookmarkStart w:id="289" w:name="_Toc297216195"/>
      <w:r>
        <w:rPr>
          <w:rFonts w:hint="eastAsia" w:ascii="宋体" w:hAnsi="宋体" w:cs="宋体"/>
          <w:color w:val="000000" w:themeColor="text1"/>
          <w:kern w:val="21"/>
          <w:szCs w:val="21"/>
          <w:highlight w:val="none"/>
          <w:u w:val="single"/>
          <w14:textFill>
            <w14:solidFill>
              <w14:schemeClr w14:val="tx1"/>
            </w14:solidFill>
          </w14:textFill>
        </w:rPr>
        <w:t xml:space="preserve">按有关规定执行 </w:t>
      </w:r>
      <w:r>
        <w:rPr>
          <w:rFonts w:hint="eastAsia" w:ascii="宋体" w:hAnsi="宋体" w:cs="宋体"/>
          <w:color w:val="000000" w:themeColor="text1"/>
          <w:kern w:val="21"/>
          <w:szCs w:val="21"/>
          <w:highlight w:val="none"/>
          <w14:textFill>
            <w14:solidFill>
              <w14:schemeClr w14:val="tx1"/>
            </w14:solidFill>
          </w14:textFill>
        </w:rPr>
        <w:t xml:space="preserve">。 </w:t>
      </w:r>
    </w:p>
    <w:p w14:paraId="76B664DB">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施工现场需要配备的试验设备：</w:t>
      </w:r>
      <w:r>
        <w:rPr>
          <w:rFonts w:hint="eastAsia" w:ascii="宋体" w:hAnsi="宋体" w:cs="宋体"/>
          <w:color w:val="000000" w:themeColor="text1"/>
          <w:kern w:val="21"/>
          <w:szCs w:val="21"/>
          <w:highlight w:val="none"/>
          <w:u w:val="single"/>
          <w14:textFill>
            <w14:solidFill>
              <w14:schemeClr w14:val="tx1"/>
            </w14:solidFill>
          </w14:textFill>
        </w:rPr>
        <w:t xml:space="preserve">按有关规定执行 </w:t>
      </w:r>
      <w:r>
        <w:rPr>
          <w:rFonts w:hint="eastAsia" w:ascii="宋体" w:hAnsi="宋体" w:cs="宋体"/>
          <w:color w:val="000000" w:themeColor="text1"/>
          <w:kern w:val="21"/>
          <w:szCs w:val="21"/>
          <w:highlight w:val="none"/>
          <w14:textFill>
            <w14:solidFill>
              <w14:schemeClr w14:val="tx1"/>
            </w14:solidFill>
          </w14:textFill>
        </w:rPr>
        <w:t>。</w:t>
      </w:r>
    </w:p>
    <w:p w14:paraId="298A39CC">
      <w:pPr>
        <w:spacing w:line="480" w:lineRule="exact"/>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施工现场需要具备的其他试验条件：</w:t>
      </w:r>
      <w:r>
        <w:rPr>
          <w:rFonts w:hint="eastAsia" w:ascii="宋体" w:hAnsi="宋体" w:cs="宋体"/>
          <w:color w:val="000000" w:themeColor="text1"/>
          <w:kern w:val="21"/>
          <w:szCs w:val="21"/>
          <w:highlight w:val="none"/>
          <w:u w:val="single"/>
          <w14:textFill>
            <w14:solidFill>
              <w14:schemeClr w14:val="tx1"/>
            </w14:solidFill>
          </w14:textFill>
        </w:rPr>
        <w:t>按有关规定执行</w:t>
      </w:r>
      <w:r>
        <w:rPr>
          <w:rFonts w:hint="eastAsia" w:ascii="宋体" w:hAnsi="宋体" w:cs="宋体"/>
          <w:color w:val="000000" w:themeColor="text1"/>
          <w:kern w:val="21"/>
          <w:szCs w:val="21"/>
          <w:highlight w:val="none"/>
          <w14:textFill>
            <w14:solidFill>
              <w14:schemeClr w14:val="tx1"/>
            </w14:solidFill>
          </w14:textFill>
        </w:rPr>
        <w:t>。</w:t>
      </w:r>
    </w:p>
    <w:p w14:paraId="06AC25BD">
      <w:pPr>
        <w:spacing w:after="120" w:line="480" w:lineRule="exact"/>
        <w:ind w:firstLine="420" w:firstLineChars="200"/>
        <w:outlineLvl w:val="0"/>
        <w:rPr>
          <w:rFonts w:ascii="宋体" w:hAnsi="宋体" w:cs="宋体"/>
          <w:color w:val="000000" w:themeColor="text1"/>
          <w:kern w:val="21"/>
          <w:szCs w:val="21"/>
          <w:highlight w:val="none"/>
          <w14:textFill>
            <w14:solidFill>
              <w14:schemeClr w14:val="tx1"/>
            </w14:solidFill>
          </w14:textFill>
        </w:rPr>
      </w:pPr>
      <w:bookmarkStart w:id="290" w:name="_Toc22147"/>
      <w:r>
        <w:rPr>
          <w:rFonts w:hint="eastAsia" w:ascii="宋体" w:hAnsi="宋体" w:cs="宋体"/>
          <w:color w:val="000000" w:themeColor="text1"/>
          <w:kern w:val="21"/>
          <w:szCs w:val="21"/>
          <w:highlight w:val="none"/>
          <w14:textFill>
            <w14:solidFill>
              <w14:schemeClr w14:val="tx1"/>
            </w14:solidFill>
          </w14:textFill>
        </w:rPr>
        <w:t>9.4 现场工艺试验</w:t>
      </w:r>
      <w:bookmarkEnd w:id="290"/>
      <w:r>
        <w:rPr>
          <w:rFonts w:hint="eastAsia" w:ascii="宋体" w:hAnsi="宋体" w:cs="宋体"/>
          <w:color w:val="000000" w:themeColor="text1"/>
          <w:kern w:val="21"/>
          <w:szCs w:val="21"/>
          <w:highlight w:val="none"/>
          <w14:textFill>
            <w14:solidFill>
              <w14:schemeClr w14:val="tx1"/>
            </w14:solidFill>
          </w14:textFill>
        </w:rPr>
        <w:t xml:space="preserve"> </w:t>
      </w:r>
    </w:p>
    <w:p w14:paraId="21923B2E">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现场工艺试验的有关约定：</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bookmarkEnd w:id="282"/>
    <w:bookmarkEnd w:id="283"/>
    <w:bookmarkEnd w:id="284"/>
    <w:bookmarkEnd w:id="285"/>
    <w:bookmarkEnd w:id="286"/>
    <w:bookmarkEnd w:id="287"/>
    <w:bookmarkEnd w:id="288"/>
    <w:bookmarkEnd w:id="289"/>
    <w:p w14:paraId="15BC0227">
      <w:pPr>
        <w:pStyle w:val="4"/>
        <w:tabs>
          <w:tab w:val="left" w:pos="864"/>
        </w:tabs>
        <w:spacing w:before="120" w:after="120" w:line="480" w:lineRule="exact"/>
        <w:textAlignment w:val="auto"/>
        <w:rPr>
          <w:rFonts w:ascii="宋体" w:hAnsi="宋体" w:cs="宋体"/>
          <w:b w:val="0"/>
          <w:color w:val="000000" w:themeColor="text1"/>
          <w:kern w:val="21"/>
          <w:sz w:val="21"/>
          <w:szCs w:val="21"/>
          <w:highlight w:val="none"/>
          <w14:textFill>
            <w14:solidFill>
              <w14:schemeClr w14:val="tx1"/>
            </w14:solidFill>
          </w14:textFill>
        </w:rPr>
      </w:pPr>
      <w:bookmarkStart w:id="291" w:name="_Toc351203642"/>
      <w:r>
        <w:rPr>
          <w:rFonts w:hint="eastAsia" w:ascii="宋体" w:hAnsi="宋体" w:cs="宋体"/>
          <w:b w:val="0"/>
          <w:color w:val="000000" w:themeColor="text1"/>
          <w:kern w:val="21"/>
          <w:sz w:val="21"/>
          <w:szCs w:val="21"/>
          <w:highlight w:val="none"/>
          <w14:textFill>
            <w14:solidFill>
              <w14:schemeClr w14:val="tx1"/>
            </w14:solidFill>
          </w14:textFill>
        </w:rPr>
        <w:t>1</w:t>
      </w:r>
      <w:bookmarkEnd w:id="256"/>
      <w:bookmarkEnd w:id="257"/>
      <w:bookmarkEnd w:id="258"/>
      <w:bookmarkEnd w:id="259"/>
      <w:bookmarkEnd w:id="260"/>
      <w:bookmarkEnd w:id="261"/>
      <w:bookmarkEnd w:id="262"/>
      <w:bookmarkEnd w:id="263"/>
      <w:bookmarkEnd w:id="264"/>
      <w:bookmarkEnd w:id="265"/>
      <w:bookmarkEnd w:id="266"/>
      <w:bookmarkEnd w:id="267"/>
      <w:bookmarkStart w:id="292" w:name="_Toc296891233"/>
      <w:bookmarkStart w:id="293" w:name="_Toc303539146"/>
      <w:bookmarkStart w:id="294" w:name="_Toc296503193"/>
      <w:bookmarkStart w:id="295" w:name="_Toc292559398"/>
      <w:bookmarkStart w:id="296" w:name="_Toc292559903"/>
      <w:bookmarkStart w:id="297" w:name="_Toc297123540"/>
      <w:bookmarkStart w:id="298" w:name="_Toc296347192"/>
      <w:bookmarkStart w:id="299" w:name="_Toc297048379"/>
      <w:bookmarkStart w:id="300" w:name="_Toc297120493"/>
      <w:bookmarkStart w:id="301" w:name="_Toc297216199"/>
      <w:bookmarkStart w:id="302" w:name="_Toc296346694"/>
      <w:bookmarkStart w:id="303" w:name="_Toc296891021"/>
      <w:bookmarkStart w:id="304" w:name="_Toc300934989"/>
      <w:bookmarkStart w:id="305" w:name="_Toc304295566"/>
      <w:bookmarkStart w:id="306" w:name="_Toc296944532"/>
      <w:bookmarkStart w:id="307" w:name="_Toc312678025"/>
      <w:bookmarkStart w:id="308" w:name="_Toc312677499"/>
      <w:bookmarkStart w:id="309" w:name="_Toc267251441"/>
      <w:bookmarkStart w:id="310" w:name="_Toc267251433"/>
      <w:bookmarkStart w:id="311" w:name="_Toc267251437"/>
      <w:bookmarkStart w:id="312" w:name="_Toc267251440"/>
      <w:bookmarkStart w:id="313" w:name="_Toc267251439"/>
      <w:bookmarkStart w:id="314" w:name="_Toc267251435"/>
      <w:bookmarkStart w:id="315" w:name="_Toc267251442"/>
      <w:r>
        <w:rPr>
          <w:rFonts w:hint="eastAsia" w:ascii="宋体" w:hAnsi="宋体" w:cs="宋体"/>
          <w:b w:val="0"/>
          <w:color w:val="000000" w:themeColor="text1"/>
          <w:kern w:val="21"/>
          <w:sz w:val="21"/>
          <w:szCs w:val="21"/>
          <w:highlight w:val="none"/>
          <w14:textFill>
            <w14:solidFill>
              <w14:schemeClr w14:val="tx1"/>
            </w14:solidFill>
          </w14:textFill>
        </w:rPr>
        <w:t>0. 变更</w:t>
      </w:r>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bookmarkEnd w:id="307"/>
    <w:bookmarkEnd w:id="308"/>
    <w:p w14:paraId="724644F0">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w:t>
      </w:r>
      <w:bookmarkStart w:id="316" w:name="_Toc303539147"/>
      <w:bookmarkStart w:id="317" w:name="_Toc296891022"/>
      <w:bookmarkStart w:id="318" w:name="_Toc292559904"/>
      <w:bookmarkStart w:id="319" w:name="_Toc312678026"/>
      <w:bookmarkStart w:id="320" w:name="_Toc304295567"/>
      <w:bookmarkStart w:id="321" w:name="_Toc297120494"/>
      <w:bookmarkStart w:id="322" w:name="_Toc296503194"/>
      <w:bookmarkStart w:id="323" w:name="_Toc292559399"/>
      <w:bookmarkStart w:id="324" w:name="_Toc296347193"/>
      <w:bookmarkStart w:id="325" w:name="_Toc300934990"/>
      <w:bookmarkStart w:id="326" w:name="_Toc312677500"/>
      <w:bookmarkStart w:id="327" w:name="_Toc297123541"/>
      <w:bookmarkStart w:id="328" w:name="_Toc296346695"/>
      <w:bookmarkStart w:id="329" w:name="_Toc297216200"/>
      <w:bookmarkStart w:id="330" w:name="_Toc297048380"/>
      <w:bookmarkStart w:id="331" w:name="_Toc296891234"/>
      <w:bookmarkStart w:id="332" w:name="_Toc296944533"/>
      <w:r>
        <w:rPr>
          <w:rFonts w:hint="eastAsia" w:ascii="宋体" w:hAnsi="宋体" w:cs="宋体"/>
          <w:color w:val="000000" w:themeColor="text1"/>
          <w:kern w:val="21"/>
          <w:szCs w:val="21"/>
          <w:highlight w:val="none"/>
          <w14:textFill>
            <w14:solidFill>
              <w14:schemeClr w14:val="tx1"/>
            </w14:solidFill>
          </w14:textFill>
        </w:rPr>
        <w:t>0.1变更的范围</w:t>
      </w:r>
    </w:p>
    <w:p w14:paraId="020F80BA">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关于变更的范围的约定：</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p w14:paraId="0D97CB3F">
      <w:pPr>
        <w:spacing w:after="120" w:line="480" w:lineRule="exact"/>
        <w:ind w:firstLine="420" w:firstLineChars="200"/>
        <w:outlineLvl w:val="0"/>
        <w:rPr>
          <w:rFonts w:ascii="宋体" w:hAnsi="宋体" w:cs="宋体"/>
          <w:color w:val="000000" w:themeColor="text1"/>
          <w:kern w:val="21"/>
          <w:szCs w:val="21"/>
          <w:highlight w:val="none"/>
          <w14:textFill>
            <w14:solidFill>
              <w14:schemeClr w14:val="tx1"/>
            </w14:solidFill>
          </w14:textFill>
        </w:rPr>
      </w:pPr>
      <w:bookmarkStart w:id="333" w:name="_Toc30414"/>
      <w:r>
        <w:rPr>
          <w:rFonts w:hint="eastAsia" w:ascii="宋体" w:hAnsi="宋体" w:cs="宋体"/>
          <w:color w:val="000000" w:themeColor="text1"/>
          <w:kern w:val="21"/>
          <w:szCs w:val="21"/>
          <w:highlight w:val="none"/>
          <w14:textFill>
            <w14:solidFill>
              <w14:schemeClr w14:val="tx1"/>
            </w14:solidFill>
          </w14:textFill>
        </w:rPr>
        <w:t>10.4 变更估价</w:t>
      </w:r>
      <w:bookmarkEnd w:id="333"/>
    </w:p>
    <w:p w14:paraId="225E5D1D">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10.4.1 变更估价原则</w:t>
      </w:r>
    </w:p>
    <w:p w14:paraId="1722714F">
      <w:pPr>
        <w:adjustRightInd w:val="0"/>
        <w:snapToGrid w:val="0"/>
        <w:spacing w:line="480" w:lineRule="exact"/>
        <w:ind w:firstLine="436" w:firstLineChars="208"/>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 xml:space="preserve">关于变更估价的约定: </w:t>
      </w:r>
      <w:r>
        <w:rPr>
          <w:rFonts w:hint="eastAsia" w:ascii="宋体" w:hAnsi="宋体" w:cs="宋体"/>
          <w:color w:val="000000" w:themeColor="text1"/>
          <w:kern w:val="21"/>
          <w:szCs w:val="21"/>
          <w:highlight w:val="none"/>
          <w:u w:val="single"/>
          <w14:textFill>
            <w14:solidFill>
              <w14:schemeClr w14:val="tx1"/>
            </w14:solidFill>
          </w14:textFill>
        </w:rPr>
        <w:t xml:space="preserve"> ①对于工程量清单漏项或有误以及设计变更引起新的工程量清单项目：</w:t>
      </w:r>
    </w:p>
    <w:p w14:paraId="4C40DCDF">
      <w:pPr>
        <w:adjustRightInd w:val="0"/>
        <w:snapToGrid w:val="0"/>
        <w:spacing w:line="480" w:lineRule="exact"/>
        <w:ind w:firstLine="420" w:firstLineChars="200"/>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w:t>
      </w:r>
      <w:r>
        <w:rPr>
          <w:rFonts w:hint="eastAsia" w:ascii="宋体" w:hAnsi="宋体" w:cs="宋体"/>
          <w:color w:val="000000" w:themeColor="text1"/>
          <w:kern w:val="21"/>
          <w:szCs w:val="21"/>
          <w:highlight w:val="none"/>
          <w:u w:val="single"/>
          <w14:textFill>
            <w14:solidFill>
              <w14:schemeClr w14:val="tx1"/>
            </w14:solidFill>
          </w14:textFill>
        </w:rPr>
        <w:t>清单或合同中已有适用于新工程量清单项目的价格，按已有价格变更合同价款；</w:t>
      </w:r>
    </w:p>
    <w:p w14:paraId="2746983C">
      <w:pPr>
        <w:adjustRightInd w:val="0"/>
        <w:snapToGrid w:val="0"/>
        <w:spacing w:line="480" w:lineRule="exact"/>
        <w:ind w:firstLine="420" w:firstLineChars="200"/>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（2）</w:t>
      </w:r>
      <w:r>
        <w:rPr>
          <w:rFonts w:hint="eastAsia" w:ascii="宋体" w:hAnsi="宋体" w:cs="宋体"/>
          <w:color w:val="000000" w:themeColor="text1"/>
          <w:kern w:val="21"/>
          <w:szCs w:val="21"/>
          <w:highlight w:val="none"/>
          <w:u w:val="single"/>
          <w14:textFill>
            <w14:solidFill>
              <w14:schemeClr w14:val="tx1"/>
            </w14:solidFill>
          </w14:textFill>
        </w:rPr>
        <w:t>清单或合同中只有类似于新工程量清单项目的价格，可以参照类似价格变更合同价款；</w:t>
      </w:r>
    </w:p>
    <w:p w14:paraId="116D2362">
      <w:pPr>
        <w:adjustRightInd w:val="0"/>
        <w:snapToGrid w:val="0"/>
        <w:spacing w:line="480" w:lineRule="exact"/>
        <w:ind w:firstLine="420" w:firstLineChars="200"/>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w:t>
      </w:r>
      <w:r>
        <w:rPr>
          <w:rFonts w:hint="eastAsia" w:ascii="宋体" w:hAnsi="宋体" w:cs="宋体"/>
          <w:color w:val="000000" w:themeColor="text1"/>
          <w:kern w:val="21"/>
          <w:szCs w:val="21"/>
          <w:highlight w:val="none"/>
          <w:u w:val="single"/>
          <w14:textFill>
            <w14:solidFill>
              <w14:schemeClr w14:val="tx1"/>
            </w14:solidFill>
          </w14:textFill>
        </w:rPr>
        <w:t>合同中没有适用或类似于变更工程的综合单价，按招标文件编制上限控制价综合单价的原则组价，并按原成交价同原上限控制价相比下浮综合单价（下浮率=(招标控制价-成交价)/招标控制价），按下浮确认的综合单价办理结算</w:t>
      </w:r>
      <w:r>
        <w:rPr>
          <w:rFonts w:hint="eastAsia" w:ascii="宋体" w:hAnsi="宋体" w:cs="宋体"/>
          <w:color w:val="000000" w:themeColor="text1"/>
          <w:kern w:val="21"/>
          <w:szCs w:val="21"/>
          <w:highlight w:val="none"/>
          <w14:textFill>
            <w14:solidFill>
              <w14:schemeClr w14:val="tx1"/>
            </w14:solidFill>
          </w14:textFill>
        </w:rPr>
        <w:t>。</w:t>
      </w:r>
    </w:p>
    <w:p w14:paraId="54CD32BB">
      <w:pPr>
        <w:adjustRightInd w:val="0"/>
        <w:snapToGrid w:val="0"/>
        <w:spacing w:line="480" w:lineRule="exact"/>
        <w:ind w:firstLine="420" w:firstLineChars="200"/>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②</w:t>
      </w:r>
      <w:r>
        <w:rPr>
          <w:rFonts w:hint="eastAsia" w:ascii="宋体" w:hAnsi="宋体" w:cs="宋体"/>
          <w:color w:val="000000" w:themeColor="text1"/>
          <w:kern w:val="21"/>
          <w:szCs w:val="21"/>
          <w:highlight w:val="none"/>
          <w:u w:val="single"/>
          <w14:textFill>
            <w14:solidFill>
              <w14:schemeClr w14:val="tx1"/>
            </w14:solidFill>
          </w14:textFill>
        </w:rPr>
        <w:t>发包人供应的材料引起的合同价款增减按价差处理。</w:t>
      </w:r>
    </w:p>
    <w:p w14:paraId="50D44C26">
      <w:pPr>
        <w:adjustRightInd w:val="0"/>
        <w:snapToGrid w:val="0"/>
        <w:spacing w:line="480" w:lineRule="exact"/>
        <w:ind w:firstLine="420" w:firstLineChars="200"/>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③</w:t>
      </w:r>
      <w:r>
        <w:rPr>
          <w:rFonts w:hint="eastAsia" w:ascii="宋体" w:hAnsi="宋体" w:cs="宋体"/>
          <w:color w:val="000000" w:themeColor="text1"/>
          <w:kern w:val="21"/>
          <w:szCs w:val="21"/>
          <w:highlight w:val="none"/>
          <w:u w:val="single"/>
          <w14:textFill>
            <w14:solidFill>
              <w14:schemeClr w14:val="tx1"/>
            </w14:solidFill>
          </w14:textFill>
        </w:rPr>
        <w:t>工程量清单的工程量如漏项或设计变更引起的工程量增减，按实调整工程量进行结算。</w:t>
      </w:r>
    </w:p>
    <w:p w14:paraId="43AAD647">
      <w:pPr>
        <w:spacing w:line="480" w:lineRule="exact"/>
        <w:ind w:right="-50" w:rightChars="-24"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10.4.2 变更估价程序</w:t>
      </w:r>
    </w:p>
    <w:p w14:paraId="08F55233">
      <w:pPr>
        <w:spacing w:line="480" w:lineRule="exact"/>
        <w:ind w:right="-50" w:rightChars="-24"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u w:val="single"/>
          <w14:textFill>
            <w14:solidFill>
              <w14:schemeClr w14:val="tx1"/>
            </w14:solidFill>
          </w14:textFill>
        </w:rPr>
        <w:t>承包人在工程变更、签证确定后14天内，提出变更、签证工程价款的报告，经监理工程师确认后调整合同暂定价款</w:t>
      </w:r>
      <w:r>
        <w:rPr>
          <w:rFonts w:hint="eastAsia" w:ascii="宋体" w:hAnsi="宋体" w:cs="宋体"/>
          <w:color w:val="000000" w:themeColor="text1"/>
          <w:kern w:val="21"/>
          <w:szCs w:val="21"/>
          <w:highlight w:val="none"/>
          <w14:textFill>
            <w14:solidFill>
              <w14:schemeClr w14:val="tx1"/>
            </w14:solidFill>
          </w14:textFill>
        </w:rPr>
        <w:t>。</w:t>
      </w:r>
    </w:p>
    <w:p w14:paraId="2D931165">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Start w:id="334" w:name="_Toc292559402"/>
      <w:bookmarkStart w:id="335" w:name="_Toc296944536"/>
      <w:bookmarkStart w:id="336" w:name="_Toc297123544"/>
      <w:bookmarkStart w:id="337" w:name="_Toc296347196"/>
      <w:bookmarkStart w:id="338" w:name="_Toc292559907"/>
      <w:bookmarkStart w:id="339" w:name="_Toc300934993"/>
      <w:bookmarkStart w:id="340" w:name="_Toc296503197"/>
      <w:bookmarkStart w:id="341" w:name="_Toc296891025"/>
      <w:bookmarkStart w:id="342" w:name="_Toc303539150"/>
      <w:bookmarkStart w:id="343" w:name="_Toc297120497"/>
      <w:bookmarkStart w:id="344" w:name="_Toc296346698"/>
      <w:bookmarkStart w:id="345" w:name="_Toc297048383"/>
      <w:bookmarkStart w:id="346" w:name="_Toc296891237"/>
      <w:bookmarkStart w:id="347" w:name="_Toc297216203"/>
      <w:bookmarkStart w:id="348" w:name="_Toc304295570"/>
      <w:bookmarkStart w:id="349" w:name="_Toc312677503"/>
      <w:bookmarkStart w:id="350" w:name="_Toc312678029"/>
      <w:r>
        <w:rPr>
          <w:rFonts w:hint="eastAsia" w:ascii="宋体" w:hAnsi="宋体" w:cs="宋体"/>
          <w:color w:val="000000" w:themeColor="text1"/>
          <w:kern w:val="21"/>
          <w:szCs w:val="21"/>
          <w:highlight w:val="none"/>
          <w14:textFill>
            <w14:solidFill>
              <w14:schemeClr w14:val="tx1"/>
            </w14:solidFill>
          </w14:textFill>
        </w:rPr>
        <w:t>0.5承</w:t>
      </w:r>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Start w:id="351" w:name="_Toc296891031"/>
      <w:bookmarkStart w:id="352" w:name="_Toc292559408"/>
      <w:bookmarkStart w:id="353" w:name="_Toc296347202"/>
      <w:bookmarkStart w:id="354" w:name="_Toc292559913"/>
      <w:bookmarkStart w:id="355" w:name="_Toc297216204"/>
      <w:bookmarkStart w:id="356" w:name="_Toc296503203"/>
      <w:bookmarkStart w:id="357" w:name="_Toc296891243"/>
      <w:bookmarkStart w:id="358" w:name="_Toc296944542"/>
      <w:bookmarkStart w:id="359" w:name="_Toc297048389"/>
      <w:bookmarkStart w:id="360" w:name="_Toc296346704"/>
      <w:bookmarkStart w:id="361" w:name="_Toc300934994"/>
      <w:bookmarkStart w:id="362" w:name="_Toc303539151"/>
      <w:bookmarkStart w:id="363" w:name="_Toc297123545"/>
      <w:bookmarkStart w:id="364" w:name="_Toc297120503"/>
      <w:r>
        <w:rPr>
          <w:rFonts w:hint="eastAsia" w:ascii="宋体" w:hAnsi="宋体" w:cs="宋体"/>
          <w:color w:val="000000" w:themeColor="text1"/>
          <w:kern w:val="21"/>
          <w:szCs w:val="21"/>
          <w:highlight w:val="none"/>
          <w14:textFill>
            <w14:solidFill>
              <w14:schemeClr w14:val="tx1"/>
            </w14:solidFill>
          </w14:textFill>
        </w:rPr>
        <w:t>包人的合理化建议</w:t>
      </w:r>
    </w:p>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14:paraId="4A030F58">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监理人审查承包人合理化建议的期限：</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p w14:paraId="52475F67">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发包人审批承包人合理化建议的期限：</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p w14:paraId="61C45717">
      <w:pPr>
        <w:spacing w:line="480" w:lineRule="exact"/>
        <w:ind w:firstLine="420" w:firstLineChars="200"/>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w:t>
      </w:r>
      <w:bookmarkStart w:id="365" w:name="_Toc296944543"/>
      <w:bookmarkStart w:id="366" w:name="_Toc300934995"/>
      <w:bookmarkStart w:id="367" w:name="_Toc296347203"/>
      <w:bookmarkStart w:id="368" w:name="_Toc318581175"/>
      <w:bookmarkStart w:id="369" w:name="_Toc303539152"/>
      <w:bookmarkStart w:id="370" w:name="_Toc312677504"/>
      <w:bookmarkStart w:id="371" w:name="_Toc304295571"/>
      <w:bookmarkStart w:id="372" w:name="_Toc296346705"/>
      <w:bookmarkStart w:id="373" w:name="_Toc297120504"/>
      <w:bookmarkStart w:id="374" w:name="_Toc297123546"/>
      <w:bookmarkStart w:id="375" w:name="_Toc296891244"/>
      <w:bookmarkStart w:id="376" w:name="_Toc297216205"/>
      <w:bookmarkStart w:id="377" w:name="_Toc292559409"/>
      <w:bookmarkStart w:id="378" w:name="_Toc312678030"/>
      <w:bookmarkStart w:id="379" w:name="_Toc296503204"/>
      <w:bookmarkStart w:id="380" w:name="_Toc292559914"/>
      <w:bookmarkStart w:id="381" w:name="_Toc297048390"/>
      <w:bookmarkStart w:id="382" w:name="_Toc296891032"/>
      <w:r>
        <w:rPr>
          <w:rFonts w:hint="eastAsia" w:ascii="宋体" w:hAnsi="宋体" w:cs="宋体"/>
          <w:color w:val="000000" w:themeColor="text1"/>
          <w:kern w:val="21"/>
          <w:szCs w:val="21"/>
          <w:highlight w:val="none"/>
          <w14:textFill>
            <w14:solidFill>
              <w14:schemeClr w14:val="tx1"/>
            </w14:solidFill>
          </w14:textFill>
        </w:rPr>
        <w:t>包人提出的合理化建议降低了合同价格或者提高了工程经济效益的奖励的方法和金额为：</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14:paraId="2045D502">
      <w:pPr>
        <w:spacing w:after="120" w:line="480" w:lineRule="exact"/>
        <w:ind w:firstLine="420" w:firstLineChars="200"/>
        <w:outlineLvl w:val="0"/>
        <w:rPr>
          <w:rFonts w:ascii="宋体" w:hAnsi="宋体" w:cs="宋体"/>
          <w:color w:val="000000" w:themeColor="text1"/>
          <w:kern w:val="21"/>
          <w:szCs w:val="21"/>
          <w:highlight w:val="none"/>
          <w14:textFill>
            <w14:solidFill>
              <w14:schemeClr w14:val="tx1"/>
            </w14:solidFill>
          </w14:textFill>
        </w:rPr>
      </w:pPr>
      <w:bookmarkStart w:id="383" w:name="_Toc22435"/>
      <w:r>
        <w:rPr>
          <w:rFonts w:hint="eastAsia" w:ascii="宋体" w:hAnsi="宋体" w:cs="宋体"/>
          <w:color w:val="000000" w:themeColor="text1"/>
          <w:kern w:val="21"/>
          <w:szCs w:val="21"/>
          <w:highlight w:val="none"/>
          <w14:textFill>
            <w14:solidFill>
              <w14:schemeClr w14:val="tx1"/>
            </w14:solidFill>
          </w14:textFill>
        </w:rPr>
        <w:t>1</w:t>
      </w:r>
      <w:bookmarkStart w:id="384" w:name="_Toc297216207"/>
      <w:bookmarkStart w:id="385" w:name="_Toc297120499"/>
      <w:bookmarkStart w:id="386" w:name="_Toc297048385"/>
      <w:bookmarkStart w:id="387" w:name="_Toc292559404"/>
      <w:bookmarkStart w:id="388" w:name="_Toc312677507"/>
      <w:bookmarkStart w:id="389" w:name="_Toc296503199"/>
      <w:bookmarkStart w:id="390" w:name="_Toc296944538"/>
      <w:bookmarkStart w:id="391" w:name="_Toc296891239"/>
      <w:bookmarkStart w:id="392" w:name="_Toc303539154"/>
      <w:bookmarkStart w:id="393" w:name="_Toc297123548"/>
      <w:bookmarkStart w:id="394" w:name="_Toc300934997"/>
      <w:bookmarkStart w:id="395" w:name="_Toc296891027"/>
      <w:bookmarkStart w:id="396" w:name="_Toc312678033"/>
      <w:bookmarkStart w:id="397" w:name="_Toc296347198"/>
      <w:bookmarkStart w:id="398" w:name="_Toc304295574"/>
      <w:bookmarkStart w:id="399" w:name="_Toc296346700"/>
      <w:bookmarkStart w:id="400" w:name="_Toc292559909"/>
      <w:r>
        <w:rPr>
          <w:rFonts w:hint="eastAsia" w:ascii="宋体" w:hAnsi="宋体" w:cs="宋体"/>
          <w:color w:val="000000" w:themeColor="text1"/>
          <w:kern w:val="21"/>
          <w:szCs w:val="21"/>
          <w:highlight w:val="none"/>
          <w14:textFill>
            <w14:solidFill>
              <w14:schemeClr w14:val="tx1"/>
            </w14:solidFill>
          </w14:textFill>
        </w:rPr>
        <w:t>0.7 暂估价</w:t>
      </w:r>
      <w:bookmarkEnd w:id="383"/>
    </w:p>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14:paraId="2B00DBE5">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暂</w:t>
      </w:r>
      <w:bookmarkStart w:id="401" w:name="_Toc318581176"/>
      <w:bookmarkStart w:id="402" w:name="_Toc312677508"/>
      <w:bookmarkStart w:id="403" w:name="_Toc312678034"/>
      <w:r>
        <w:rPr>
          <w:rFonts w:hint="eastAsia" w:ascii="宋体" w:hAnsi="宋体" w:cs="宋体"/>
          <w:color w:val="000000" w:themeColor="text1"/>
          <w:kern w:val="21"/>
          <w:szCs w:val="21"/>
          <w:highlight w:val="none"/>
          <w14:textFill>
            <w14:solidFill>
              <w14:schemeClr w14:val="tx1"/>
            </w14:solidFill>
          </w14:textFill>
        </w:rPr>
        <w:t>估价材料和工程设备的明细详见附件11：《暂估价一览表》。</w:t>
      </w:r>
    </w:p>
    <w:bookmarkEnd w:id="401"/>
    <w:bookmarkEnd w:id="402"/>
    <w:bookmarkEnd w:id="403"/>
    <w:p w14:paraId="0F25C0E1">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w:t>
      </w:r>
      <w:bookmarkStart w:id="404" w:name="_Toc318581177"/>
      <w:bookmarkStart w:id="405" w:name="_Toc312677509"/>
      <w:bookmarkStart w:id="406" w:name="_Toc312678035"/>
      <w:r>
        <w:rPr>
          <w:rFonts w:hint="eastAsia" w:ascii="宋体" w:hAnsi="宋体" w:cs="宋体"/>
          <w:color w:val="000000" w:themeColor="text1"/>
          <w:kern w:val="21"/>
          <w:szCs w:val="21"/>
          <w:highlight w:val="none"/>
          <w14:textFill>
            <w14:solidFill>
              <w14:schemeClr w14:val="tx1"/>
            </w14:solidFill>
          </w14:textFill>
        </w:rPr>
        <w:t>0.7.1 依法必须招标的暂估价项目</w:t>
      </w:r>
    </w:p>
    <w:bookmarkEnd w:id="404"/>
    <w:bookmarkEnd w:id="405"/>
    <w:bookmarkEnd w:id="406"/>
    <w:p w14:paraId="4991D097">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对于依法必须招标的暂估价项目的确认和批准采取第</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种方式确定。</w:t>
      </w:r>
    </w:p>
    <w:p w14:paraId="289B4EF1">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10.7.2 不属于依法必须招标的暂估价项目</w:t>
      </w:r>
    </w:p>
    <w:p w14:paraId="50029D08">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对于不属于依法必须招标的暂估价项目的确认和批准采取第</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 xml:space="preserve"> 种方式确定。</w:t>
      </w:r>
    </w:p>
    <w:p w14:paraId="0BC539F5">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第3种方式：承包人直接实施的暂估价项目</w:t>
      </w:r>
    </w:p>
    <w:p w14:paraId="7F5E9315">
      <w:pPr>
        <w:spacing w:line="480" w:lineRule="exact"/>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承包人直接实施的暂估价项目的约定：</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p w14:paraId="28D09A77">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10.8 暂列金额</w:t>
      </w:r>
    </w:p>
    <w:p w14:paraId="1B06424F">
      <w:pPr>
        <w:autoSpaceDE w:val="0"/>
        <w:autoSpaceDN w:val="0"/>
        <w:adjustRightInd w:val="0"/>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合同当事人关于暂列金额使用的约定：</w:t>
      </w:r>
      <w:r>
        <w:rPr>
          <w:rFonts w:hint="eastAsia" w:ascii="宋体" w:hAnsi="宋体" w:cs="宋体"/>
          <w:color w:val="000000" w:themeColor="text1"/>
          <w:kern w:val="21"/>
          <w:szCs w:val="21"/>
          <w:highlight w:val="none"/>
          <w:u w:val="single"/>
          <w14:textFill>
            <w14:solidFill>
              <w14:schemeClr w14:val="tx1"/>
            </w14:solidFill>
          </w14:textFill>
        </w:rPr>
        <w:t xml:space="preserve"> 签订合同时计入合同总金额，竣工结算时统一核算，发包人根据实际情况，有权决定暂列项目的实施 </w:t>
      </w:r>
      <w:r>
        <w:rPr>
          <w:rFonts w:hint="eastAsia" w:ascii="宋体" w:hAnsi="宋体" w:cs="宋体"/>
          <w:color w:val="000000" w:themeColor="text1"/>
          <w:kern w:val="21"/>
          <w:szCs w:val="21"/>
          <w:highlight w:val="none"/>
          <w14:textFill>
            <w14:solidFill>
              <w14:schemeClr w14:val="tx1"/>
            </w14:solidFill>
          </w14:textFill>
        </w:rPr>
        <w:t>。</w:t>
      </w:r>
    </w:p>
    <w:p w14:paraId="7D01C567">
      <w:pPr>
        <w:pStyle w:val="4"/>
        <w:tabs>
          <w:tab w:val="left" w:pos="864"/>
        </w:tabs>
        <w:spacing w:before="120" w:after="120" w:line="480" w:lineRule="exact"/>
        <w:textAlignment w:val="auto"/>
        <w:rPr>
          <w:rFonts w:ascii="宋体" w:hAnsi="宋体" w:cs="宋体"/>
          <w:b w:val="0"/>
          <w:color w:val="000000" w:themeColor="text1"/>
          <w:kern w:val="21"/>
          <w:sz w:val="21"/>
          <w:szCs w:val="21"/>
          <w:highlight w:val="none"/>
          <w14:textFill>
            <w14:solidFill>
              <w14:schemeClr w14:val="tx1"/>
            </w14:solidFill>
          </w14:textFill>
        </w:rPr>
      </w:pPr>
      <w:bookmarkStart w:id="407" w:name="_Toc351203643"/>
      <w:r>
        <w:rPr>
          <w:rFonts w:hint="eastAsia" w:ascii="宋体" w:hAnsi="宋体" w:cs="宋体"/>
          <w:b w:val="0"/>
          <w:color w:val="000000" w:themeColor="text1"/>
          <w:kern w:val="21"/>
          <w:sz w:val="21"/>
          <w:szCs w:val="21"/>
          <w:highlight w:val="none"/>
          <w14:textFill>
            <w14:solidFill>
              <w14:schemeClr w14:val="tx1"/>
            </w14:solidFill>
          </w14:textFill>
        </w:rPr>
        <w:t>11. 价格调整</w:t>
      </w:r>
      <w:bookmarkEnd w:id="407"/>
    </w:p>
    <w:p w14:paraId="4BA2578E">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bookmarkStart w:id="408" w:name="_Toc296944540"/>
      <w:bookmarkStart w:id="409" w:name="_Toc312678039"/>
      <w:bookmarkStart w:id="410" w:name="_Toc292559406"/>
      <w:bookmarkStart w:id="411" w:name="_Toc304295577"/>
      <w:bookmarkStart w:id="412" w:name="_Toc297216209"/>
      <w:bookmarkStart w:id="413" w:name="_Toc296347200"/>
      <w:bookmarkStart w:id="414" w:name="_Toc296891029"/>
      <w:bookmarkStart w:id="415" w:name="_Toc303539157"/>
      <w:bookmarkStart w:id="416" w:name="_Toc296891241"/>
      <w:bookmarkStart w:id="417" w:name="_Toc297120501"/>
      <w:bookmarkStart w:id="418" w:name="_Toc297123550"/>
      <w:bookmarkStart w:id="419" w:name="_Toc292559911"/>
      <w:bookmarkStart w:id="420" w:name="_Toc296346702"/>
      <w:bookmarkStart w:id="421" w:name="_Toc296503201"/>
      <w:bookmarkStart w:id="422" w:name="_Toc297048387"/>
      <w:bookmarkStart w:id="423" w:name="_Toc300935000"/>
      <w:r>
        <w:rPr>
          <w:rFonts w:hint="eastAsia" w:ascii="宋体" w:hAnsi="宋体" w:cs="宋体"/>
          <w:color w:val="000000" w:themeColor="text1"/>
          <w:kern w:val="21"/>
          <w:szCs w:val="21"/>
          <w:highlight w:val="none"/>
          <w14:textFill>
            <w14:solidFill>
              <w14:schemeClr w14:val="tx1"/>
            </w14:solidFill>
          </w14:textFill>
        </w:rPr>
        <w:t>11.1 市场价格波动引起的调整</w:t>
      </w:r>
    </w:p>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14:paraId="3DC4A61C">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市场价格波动是否调整合同价格的约定：</w:t>
      </w:r>
      <w:r>
        <w:rPr>
          <w:rFonts w:hint="eastAsia" w:ascii="宋体" w:hAnsi="宋体" w:cs="宋体"/>
          <w:color w:val="000000" w:themeColor="text1"/>
          <w:kern w:val="21"/>
          <w:szCs w:val="21"/>
          <w:highlight w:val="none"/>
          <w:u w:val="single"/>
          <w14:textFill>
            <w14:solidFill>
              <w14:schemeClr w14:val="tx1"/>
            </w14:solidFill>
          </w14:textFill>
        </w:rPr>
        <w:t xml:space="preserve">    超出约定范围以外可调整    </w:t>
      </w:r>
      <w:r>
        <w:rPr>
          <w:rFonts w:hint="eastAsia" w:ascii="宋体" w:hAnsi="宋体" w:cs="宋体"/>
          <w:color w:val="000000" w:themeColor="text1"/>
          <w:kern w:val="21"/>
          <w:szCs w:val="21"/>
          <w:highlight w:val="none"/>
          <w14:textFill>
            <w14:solidFill>
              <w14:schemeClr w14:val="tx1"/>
            </w14:solidFill>
          </w14:textFill>
        </w:rPr>
        <w:t>。</w:t>
      </w:r>
    </w:p>
    <w:p w14:paraId="44123CBE">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因市场价格波动调整合同价格，采用以下第</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种方式对合同价格进行调整：</w:t>
      </w:r>
    </w:p>
    <w:p w14:paraId="34B4C876">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第1种方式：采用价格指数进行价格调整。</w:t>
      </w:r>
    </w:p>
    <w:p w14:paraId="3291CF87">
      <w:pPr>
        <w:spacing w:line="480" w:lineRule="exact"/>
        <w:ind w:firstLine="420" w:firstLineChars="200"/>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关于各可调因子、定值和变值权重，以及基本价格指数及其来源的约定：</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 xml:space="preserve">；  </w:t>
      </w:r>
    </w:p>
    <w:p w14:paraId="121F25C9">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第2种方式：采用</w:t>
      </w:r>
      <w:r>
        <w:rPr>
          <w:rFonts w:hint="eastAsia" w:ascii="宋体" w:hAnsi="宋体" w:cs="宋体"/>
          <w:b/>
          <w:bCs/>
          <w:color w:val="000000" w:themeColor="text1"/>
          <w:kern w:val="21"/>
          <w:szCs w:val="21"/>
          <w:highlight w:val="none"/>
          <w14:textFill>
            <w14:solidFill>
              <w14:schemeClr w14:val="tx1"/>
            </w14:solidFill>
          </w14:textFill>
        </w:rPr>
        <w:t>陕西工程造价信息</w:t>
      </w:r>
      <w:r>
        <w:rPr>
          <w:rFonts w:hint="eastAsia" w:ascii="宋体" w:hAnsi="宋体" w:cs="宋体"/>
          <w:color w:val="000000" w:themeColor="text1"/>
          <w:kern w:val="21"/>
          <w:szCs w:val="21"/>
          <w:highlight w:val="none"/>
          <w14:textFill>
            <w14:solidFill>
              <w14:schemeClr w14:val="tx1"/>
            </w14:solidFill>
          </w14:textFill>
        </w:rPr>
        <w:t>进行价格调整。</w:t>
      </w:r>
    </w:p>
    <w:p w14:paraId="777350CA">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（2）关于基准价格的约定：</w:t>
      </w:r>
      <w:r>
        <w:rPr>
          <w:rFonts w:hint="eastAsia" w:ascii="宋体" w:hAnsi="宋体" w:cs="宋体"/>
          <w:color w:val="000000" w:themeColor="text1"/>
          <w:kern w:val="21"/>
          <w:szCs w:val="21"/>
          <w:highlight w:val="none"/>
          <w:u w:val="single"/>
          <w14:textFill>
            <w14:solidFill>
              <w14:schemeClr w14:val="tx1"/>
            </w14:solidFill>
          </w14:textFill>
        </w:rPr>
        <w:t xml:space="preserve">     按本工程最高限价的材料价为基准价格     </w:t>
      </w:r>
      <w:r>
        <w:rPr>
          <w:rFonts w:hint="eastAsia" w:ascii="宋体" w:hAnsi="宋体" w:cs="宋体"/>
          <w:color w:val="000000" w:themeColor="text1"/>
          <w:kern w:val="21"/>
          <w:szCs w:val="21"/>
          <w:highlight w:val="none"/>
          <w14:textFill>
            <w14:solidFill>
              <w14:schemeClr w14:val="tx1"/>
            </w14:solidFill>
          </w14:textFill>
        </w:rPr>
        <w:t>。</w:t>
      </w:r>
    </w:p>
    <w:p w14:paraId="13A5B28C">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专用合同条款①承包人在已标价工程量清单或预算书中载明的材料单价低于基准价格的：专用合同条款合同履行期间材料单价涨幅以基准价格为基础超过</w:t>
      </w:r>
      <w:r>
        <w:rPr>
          <w:rFonts w:hint="eastAsia" w:ascii="宋体" w:hAnsi="宋体" w:cs="宋体"/>
          <w:color w:val="000000" w:themeColor="text1"/>
          <w:kern w:val="21"/>
          <w:szCs w:val="21"/>
          <w:highlight w:val="none"/>
          <w:u w:val="single"/>
          <w14:textFill>
            <w14:solidFill>
              <w14:schemeClr w14:val="tx1"/>
            </w14:solidFill>
          </w14:textFill>
        </w:rPr>
        <w:t xml:space="preserve"> 5  </w:t>
      </w:r>
      <w:r>
        <w:rPr>
          <w:rFonts w:hint="eastAsia" w:ascii="宋体" w:hAnsi="宋体" w:cs="宋体"/>
          <w:color w:val="000000" w:themeColor="text1"/>
          <w:kern w:val="21"/>
          <w:szCs w:val="21"/>
          <w:highlight w:val="none"/>
          <w14:textFill>
            <w14:solidFill>
              <w14:schemeClr w14:val="tx1"/>
            </w14:solidFill>
          </w14:textFill>
        </w:rPr>
        <w:t>%时，或材料单价跌幅以已标价工程量清单或预算书中载明材料单价为基础超过</w:t>
      </w:r>
      <w:r>
        <w:rPr>
          <w:rFonts w:hint="eastAsia" w:ascii="宋体" w:hAnsi="宋体" w:cs="宋体"/>
          <w:color w:val="000000" w:themeColor="text1"/>
          <w:kern w:val="21"/>
          <w:szCs w:val="21"/>
          <w:highlight w:val="none"/>
          <w:u w:val="single"/>
          <w14:textFill>
            <w14:solidFill>
              <w14:schemeClr w14:val="tx1"/>
            </w14:solidFill>
          </w14:textFill>
        </w:rPr>
        <w:t xml:space="preserve"> 5  </w:t>
      </w:r>
      <w:r>
        <w:rPr>
          <w:rFonts w:hint="eastAsia" w:ascii="宋体" w:hAnsi="宋体" w:cs="宋体"/>
          <w:color w:val="000000" w:themeColor="text1"/>
          <w:kern w:val="21"/>
          <w:szCs w:val="21"/>
          <w:highlight w:val="none"/>
          <w14:textFill>
            <w14:solidFill>
              <w14:schemeClr w14:val="tx1"/>
            </w14:solidFill>
          </w14:textFill>
        </w:rPr>
        <w:t>%时，其超过部分据实调整。</w:t>
      </w:r>
    </w:p>
    <w:p w14:paraId="619C2F49">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②承包人在已标价工程量清单或预算书中载明的材料单价高于基准价格的：专用合同条款合同履行期间材料单价跌幅以基准价格为基础超过</w:t>
      </w:r>
      <w:r>
        <w:rPr>
          <w:rFonts w:hint="eastAsia" w:ascii="宋体" w:hAnsi="宋体" w:cs="宋体"/>
          <w:color w:val="000000" w:themeColor="text1"/>
          <w:kern w:val="21"/>
          <w:szCs w:val="21"/>
          <w:highlight w:val="none"/>
          <w:u w:val="single"/>
          <w14:textFill>
            <w14:solidFill>
              <w14:schemeClr w14:val="tx1"/>
            </w14:solidFill>
          </w14:textFill>
        </w:rPr>
        <w:t xml:space="preserve"> 5  </w:t>
      </w:r>
      <w:r>
        <w:rPr>
          <w:rFonts w:hint="eastAsia" w:ascii="宋体" w:hAnsi="宋体" w:cs="宋体"/>
          <w:color w:val="000000" w:themeColor="text1"/>
          <w:kern w:val="21"/>
          <w:szCs w:val="21"/>
          <w:highlight w:val="none"/>
          <w14:textFill>
            <w14:solidFill>
              <w14:schemeClr w14:val="tx1"/>
            </w14:solidFill>
          </w14:textFill>
        </w:rPr>
        <w:t>%时，材料单价涨幅以已标价工程量清单或预算书中载明材料单价为基础超过</w:t>
      </w:r>
      <w:r>
        <w:rPr>
          <w:rFonts w:hint="eastAsia" w:ascii="宋体" w:hAnsi="宋体" w:cs="宋体"/>
          <w:color w:val="000000" w:themeColor="text1"/>
          <w:kern w:val="21"/>
          <w:szCs w:val="21"/>
          <w:highlight w:val="none"/>
          <w:u w:val="single"/>
          <w14:textFill>
            <w14:solidFill>
              <w14:schemeClr w14:val="tx1"/>
            </w14:solidFill>
          </w14:textFill>
        </w:rPr>
        <w:t xml:space="preserve"> 5  </w:t>
      </w:r>
      <w:r>
        <w:rPr>
          <w:rFonts w:hint="eastAsia" w:ascii="宋体" w:hAnsi="宋体" w:cs="宋体"/>
          <w:color w:val="000000" w:themeColor="text1"/>
          <w:kern w:val="21"/>
          <w:szCs w:val="21"/>
          <w:highlight w:val="none"/>
          <w14:textFill>
            <w14:solidFill>
              <w14:schemeClr w14:val="tx1"/>
            </w14:solidFill>
          </w14:textFill>
        </w:rPr>
        <w:t>%时，其超过部分据实调整。</w:t>
      </w:r>
    </w:p>
    <w:p w14:paraId="22859FB4">
      <w:pPr>
        <w:spacing w:line="480" w:lineRule="exact"/>
        <w:ind w:firstLine="645"/>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③承包人在已标价工程量清单或预算书中载明的材料单价等于基准单价的：专用合同条款合同履行期间材料单价涨跌幅以基准单价为基础超过±</w:t>
      </w:r>
      <w:r>
        <w:rPr>
          <w:rFonts w:hint="eastAsia" w:ascii="宋体" w:hAnsi="宋体" w:cs="宋体"/>
          <w:color w:val="000000" w:themeColor="text1"/>
          <w:kern w:val="21"/>
          <w:szCs w:val="21"/>
          <w:highlight w:val="none"/>
          <w:u w:val="single"/>
          <w14:textFill>
            <w14:solidFill>
              <w14:schemeClr w14:val="tx1"/>
            </w14:solidFill>
          </w14:textFill>
        </w:rPr>
        <w:t xml:space="preserve"> 5  </w:t>
      </w:r>
      <w:r>
        <w:rPr>
          <w:rFonts w:hint="eastAsia" w:ascii="宋体" w:hAnsi="宋体" w:cs="宋体"/>
          <w:color w:val="000000" w:themeColor="text1"/>
          <w:kern w:val="21"/>
          <w:szCs w:val="21"/>
          <w:highlight w:val="none"/>
          <w14:textFill>
            <w14:solidFill>
              <w14:schemeClr w14:val="tx1"/>
            </w14:solidFill>
          </w14:textFill>
        </w:rPr>
        <w:t>%时，其超过部分据实调整。</w:t>
      </w:r>
    </w:p>
    <w:p w14:paraId="536D3428">
      <w:pPr>
        <w:spacing w:line="480" w:lineRule="exact"/>
        <w:ind w:firstLine="645"/>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第3种方式：其他价格调整方式：</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p>
    <w:bookmarkEnd w:id="309"/>
    <w:bookmarkEnd w:id="310"/>
    <w:bookmarkEnd w:id="311"/>
    <w:bookmarkEnd w:id="312"/>
    <w:bookmarkEnd w:id="313"/>
    <w:bookmarkEnd w:id="314"/>
    <w:p w14:paraId="1A18EABE">
      <w:pPr>
        <w:pStyle w:val="4"/>
        <w:tabs>
          <w:tab w:val="left" w:pos="864"/>
        </w:tabs>
        <w:spacing w:before="120" w:after="120" w:line="480" w:lineRule="exact"/>
        <w:textAlignment w:val="auto"/>
        <w:rPr>
          <w:rFonts w:ascii="宋体" w:hAnsi="宋体" w:cs="宋体"/>
          <w:b w:val="0"/>
          <w:color w:val="000000" w:themeColor="text1"/>
          <w:kern w:val="21"/>
          <w:sz w:val="21"/>
          <w:szCs w:val="21"/>
          <w:highlight w:val="none"/>
          <w14:textFill>
            <w14:solidFill>
              <w14:schemeClr w14:val="tx1"/>
            </w14:solidFill>
          </w14:textFill>
        </w:rPr>
      </w:pPr>
      <w:bookmarkStart w:id="424" w:name="_Toc296944544"/>
      <w:bookmarkStart w:id="425" w:name="_Toc296347204"/>
      <w:bookmarkStart w:id="426" w:name="_Toc296891245"/>
      <w:bookmarkStart w:id="427" w:name="_Toc296503205"/>
      <w:bookmarkStart w:id="428" w:name="_Toc292559915"/>
      <w:bookmarkStart w:id="429" w:name="_Toc297048391"/>
      <w:bookmarkStart w:id="430" w:name="_Toc296346706"/>
      <w:bookmarkStart w:id="431" w:name="_Toc296891033"/>
      <w:bookmarkStart w:id="432" w:name="_Toc292559410"/>
      <w:bookmarkStart w:id="433" w:name="_Toc297120505"/>
      <w:bookmarkStart w:id="434" w:name="_Toc351203644"/>
      <w:bookmarkStart w:id="435" w:name="_Toc297216211"/>
      <w:bookmarkStart w:id="436" w:name="_Toc300935002"/>
      <w:bookmarkStart w:id="437" w:name="_Toc312678040"/>
      <w:bookmarkStart w:id="438" w:name="_Toc297123552"/>
      <w:bookmarkStart w:id="439" w:name="_Toc303539159"/>
      <w:bookmarkStart w:id="440" w:name="_Toc304295579"/>
      <w:r>
        <w:rPr>
          <w:rFonts w:hint="eastAsia" w:ascii="宋体" w:hAnsi="宋体" w:cs="宋体"/>
          <w:b w:val="0"/>
          <w:color w:val="000000" w:themeColor="text1"/>
          <w:kern w:val="21"/>
          <w:sz w:val="21"/>
          <w:szCs w:val="21"/>
          <w:highlight w:val="none"/>
          <w14:textFill>
            <w14:solidFill>
              <w14:schemeClr w14:val="tx1"/>
            </w14:solidFill>
          </w14:textFill>
        </w:rPr>
        <w:t xml:space="preserve">12. </w:t>
      </w:r>
      <w:bookmarkEnd w:id="424"/>
      <w:bookmarkEnd w:id="425"/>
      <w:bookmarkEnd w:id="426"/>
      <w:bookmarkEnd w:id="427"/>
      <w:bookmarkEnd w:id="428"/>
      <w:bookmarkEnd w:id="429"/>
      <w:bookmarkEnd w:id="430"/>
      <w:bookmarkEnd w:id="431"/>
      <w:bookmarkEnd w:id="432"/>
      <w:bookmarkEnd w:id="433"/>
      <w:r>
        <w:rPr>
          <w:rFonts w:hint="eastAsia" w:ascii="宋体" w:hAnsi="宋体" w:cs="宋体"/>
          <w:b w:val="0"/>
          <w:color w:val="000000" w:themeColor="text1"/>
          <w:kern w:val="21"/>
          <w:sz w:val="21"/>
          <w:szCs w:val="21"/>
          <w:highlight w:val="none"/>
          <w14:textFill>
            <w14:solidFill>
              <w14:schemeClr w14:val="tx1"/>
            </w14:solidFill>
          </w14:textFill>
        </w:rPr>
        <w:t>合同价格、计量与支付</w:t>
      </w:r>
      <w:bookmarkEnd w:id="434"/>
    </w:p>
    <w:bookmarkEnd w:id="435"/>
    <w:bookmarkEnd w:id="436"/>
    <w:bookmarkEnd w:id="437"/>
    <w:bookmarkEnd w:id="438"/>
    <w:bookmarkEnd w:id="439"/>
    <w:bookmarkEnd w:id="440"/>
    <w:p w14:paraId="182FE8D4">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bookmarkStart w:id="441" w:name="_Toc267251461"/>
      <w:bookmarkStart w:id="442" w:name="_Toc292559916"/>
      <w:bookmarkStart w:id="443" w:name="_Toc292559411"/>
      <w:bookmarkStart w:id="444" w:name="_Toc296891034"/>
      <w:bookmarkStart w:id="445" w:name="_Toc296891246"/>
      <w:bookmarkStart w:id="446" w:name="_Toc297048392"/>
      <w:bookmarkStart w:id="447" w:name="_Toc296944545"/>
      <w:bookmarkStart w:id="448" w:name="_Toc297120506"/>
      <w:bookmarkStart w:id="449" w:name="_Toc296346707"/>
      <w:bookmarkStart w:id="450" w:name="_Toc296503206"/>
      <w:bookmarkStart w:id="451" w:name="_Toc296347205"/>
      <w:bookmarkStart w:id="452" w:name="_Toc297123553"/>
      <w:bookmarkStart w:id="453" w:name="_Toc297216212"/>
      <w:bookmarkStart w:id="454" w:name="_Toc303539160"/>
      <w:bookmarkStart w:id="455" w:name="_Toc312678041"/>
      <w:bookmarkStart w:id="456" w:name="_Toc304295580"/>
      <w:bookmarkStart w:id="457" w:name="_Toc300935003"/>
      <w:r>
        <w:rPr>
          <w:rFonts w:hint="eastAsia" w:ascii="宋体" w:hAnsi="宋体" w:cs="宋体"/>
          <w:color w:val="000000" w:themeColor="text1"/>
          <w:kern w:val="21"/>
          <w:szCs w:val="21"/>
          <w:highlight w:val="none"/>
          <w14:textFill>
            <w14:solidFill>
              <w14:schemeClr w14:val="tx1"/>
            </w14:solidFill>
          </w14:textFill>
        </w:rPr>
        <w:t>12.1 合</w:t>
      </w:r>
      <w:bookmarkEnd w:id="441"/>
      <w:bookmarkEnd w:id="442"/>
      <w:bookmarkEnd w:id="443"/>
      <w:r>
        <w:rPr>
          <w:rFonts w:hint="eastAsia" w:ascii="宋体" w:hAnsi="宋体" w:cs="宋体"/>
          <w:color w:val="000000" w:themeColor="text1"/>
          <w:kern w:val="21"/>
          <w:szCs w:val="21"/>
          <w:highlight w:val="none"/>
          <w14:textFill>
            <w14:solidFill>
              <w14:schemeClr w14:val="tx1"/>
            </w14:solidFill>
          </w14:textFill>
        </w:rPr>
        <w:t>同价</w:t>
      </w:r>
      <w:bookmarkEnd w:id="444"/>
      <w:bookmarkEnd w:id="445"/>
      <w:bookmarkEnd w:id="446"/>
      <w:bookmarkEnd w:id="447"/>
      <w:bookmarkEnd w:id="448"/>
      <w:bookmarkEnd w:id="449"/>
      <w:bookmarkEnd w:id="450"/>
      <w:bookmarkEnd w:id="451"/>
      <w:r>
        <w:rPr>
          <w:rFonts w:hint="eastAsia" w:ascii="宋体" w:hAnsi="宋体" w:cs="宋体"/>
          <w:color w:val="000000" w:themeColor="text1"/>
          <w:kern w:val="21"/>
          <w:szCs w:val="21"/>
          <w:highlight w:val="none"/>
          <w14:textFill>
            <w14:solidFill>
              <w14:schemeClr w14:val="tx1"/>
            </w14:solidFill>
          </w14:textFill>
        </w:rPr>
        <w:t>格形式</w:t>
      </w:r>
    </w:p>
    <w:bookmarkEnd w:id="452"/>
    <w:bookmarkEnd w:id="453"/>
    <w:bookmarkEnd w:id="454"/>
    <w:bookmarkEnd w:id="455"/>
    <w:bookmarkEnd w:id="456"/>
    <w:bookmarkEnd w:id="457"/>
    <w:p w14:paraId="6B525DA0">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1、单价合同。</w:t>
      </w:r>
    </w:p>
    <w:p w14:paraId="7C469BA0">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综合单价包含的风险范围：</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 xml:space="preserve"> 。</w:t>
      </w:r>
    </w:p>
    <w:p w14:paraId="15822D09">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风险费用的计算方法：</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p>
    <w:p w14:paraId="0190A8DC">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风险范围以外合同价格的调整方法：</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w:t>
      </w:r>
    </w:p>
    <w:p w14:paraId="6BD4F97B">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2、总价合同。</w:t>
      </w:r>
    </w:p>
    <w:p w14:paraId="119990EB">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总价包含的风险范围：</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w:t>
      </w:r>
    </w:p>
    <w:p w14:paraId="0229BE9A">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风险费用的计算方法：</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p>
    <w:p w14:paraId="1B0DB8F0">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风险范围以外合同价格的调整方法：</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w:t>
      </w:r>
    </w:p>
    <w:p w14:paraId="200D6BE0">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3、其他价格方式：</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p w14:paraId="6C15C6FA">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bookmarkStart w:id="458" w:name="_Toc297216213"/>
      <w:bookmarkStart w:id="459" w:name="_Toc300935004"/>
      <w:bookmarkStart w:id="460" w:name="_Toc312678042"/>
      <w:bookmarkStart w:id="461" w:name="_Toc304295581"/>
      <w:bookmarkStart w:id="462" w:name="_Toc303539161"/>
      <w:bookmarkStart w:id="463" w:name="_Toc297123554"/>
      <w:bookmarkStart w:id="464" w:name="_Toc296944546"/>
      <w:bookmarkStart w:id="465" w:name="_Toc296891247"/>
      <w:bookmarkStart w:id="466" w:name="_Toc296891035"/>
      <w:bookmarkStart w:id="467" w:name="_Toc297048393"/>
      <w:bookmarkStart w:id="468" w:name="_Toc296503207"/>
      <w:bookmarkStart w:id="469" w:name="_Toc296347206"/>
      <w:bookmarkStart w:id="470" w:name="_Toc292559917"/>
      <w:bookmarkStart w:id="471" w:name="_Toc296346708"/>
      <w:bookmarkStart w:id="472" w:name="_Toc297120507"/>
      <w:bookmarkStart w:id="473" w:name="_Toc292559412"/>
      <w:r>
        <w:rPr>
          <w:rFonts w:hint="eastAsia" w:ascii="宋体" w:hAnsi="宋体" w:cs="宋体"/>
          <w:color w:val="000000" w:themeColor="text1"/>
          <w:kern w:val="21"/>
          <w:szCs w:val="21"/>
          <w:highlight w:val="none"/>
          <w14:textFill>
            <w14:solidFill>
              <w14:schemeClr w14:val="tx1"/>
            </w14:solidFill>
          </w14:textFill>
        </w:rPr>
        <w:t>12.2 预付款</w:t>
      </w:r>
    </w:p>
    <w:bookmarkEnd w:id="458"/>
    <w:bookmarkEnd w:id="459"/>
    <w:bookmarkEnd w:id="460"/>
    <w:bookmarkEnd w:id="461"/>
    <w:bookmarkEnd w:id="462"/>
    <w:bookmarkEnd w:id="463"/>
    <w:p w14:paraId="76AD8020">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12.2.1预付款的支付</w:t>
      </w:r>
    </w:p>
    <w:p w14:paraId="7B6C8235">
      <w:pPr>
        <w:spacing w:line="480" w:lineRule="exact"/>
        <w:ind w:firstLine="420" w:firstLineChars="200"/>
        <w:jc w:val="left"/>
        <w:rPr>
          <w:rFonts w:hint="default" w:ascii="宋体" w:hAnsi="宋体" w:cs="宋体"/>
          <w:color w:val="000000" w:themeColor="text1"/>
          <w:kern w:val="21"/>
          <w:szCs w:val="21"/>
          <w:highlight w:val="none"/>
          <w:u w:val="single"/>
          <w:lang w:val="en-US" w:eastAsia="zh-CN"/>
          <w14:textFill>
            <w14:solidFill>
              <w14:schemeClr w14:val="tx1"/>
            </w14:solidFill>
          </w14:textFill>
        </w:rPr>
      </w:pPr>
      <w:r>
        <w:rPr>
          <w:rFonts w:hint="eastAsia" w:ascii="宋体" w:hAnsi="宋体" w:cs="宋体"/>
          <w:color w:val="000000" w:themeColor="text1"/>
          <w:kern w:val="21"/>
          <w:szCs w:val="21"/>
          <w:highlight w:val="none"/>
          <w:u w:val="single"/>
          <w:lang w:val="en-US" w:eastAsia="zh-CN"/>
          <w14:textFill>
            <w14:solidFill>
              <w14:schemeClr w14:val="tx1"/>
            </w14:solidFill>
          </w14:textFill>
        </w:rPr>
        <w:t>无预付款</w:t>
      </w:r>
    </w:p>
    <w:p w14:paraId="26E21E7E">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12.2.2 预付款担保</w:t>
      </w:r>
    </w:p>
    <w:p w14:paraId="49B4E4F4">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承包人提交预付款担保的期限：</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p w14:paraId="6C195B14">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预付款担保的形式为：</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bookmarkEnd w:id="464"/>
    <w:bookmarkEnd w:id="465"/>
    <w:bookmarkEnd w:id="466"/>
    <w:bookmarkEnd w:id="467"/>
    <w:bookmarkEnd w:id="468"/>
    <w:bookmarkEnd w:id="469"/>
    <w:bookmarkEnd w:id="470"/>
    <w:bookmarkEnd w:id="471"/>
    <w:bookmarkEnd w:id="472"/>
    <w:bookmarkEnd w:id="473"/>
    <w:p w14:paraId="43076783">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12.3 计量</w:t>
      </w:r>
    </w:p>
    <w:p w14:paraId="125CE8EF">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12.3.1 计量原则</w:t>
      </w:r>
    </w:p>
    <w:p w14:paraId="13CA1DD2">
      <w:pPr>
        <w:spacing w:line="480" w:lineRule="exact"/>
        <w:ind w:firstLine="420" w:firstLineChars="200"/>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工程量计算规则：</w:t>
      </w:r>
      <w:r>
        <w:rPr>
          <w:rFonts w:hint="eastAsia" w:ascii="宋体" w:hAnsi="宋体" w:cs="宋体"/>
          <w:color w:val="000000" w:themeColor="text1"/>
          <w:kern w:val="21"/>
          <w:szCs w:val="21"/>
          <w:highlight w:val="none"/>
          <w:u w:val="single"/>
          <w14:textFill>
            <w14:solidFill>
              <w14:schemeClr w14:val="tx1"/>
            </w14:solidFill>
          </w14:textFill>
        </w:rPr>
        <w:t>执行《陕西省建设工程工程量清单计价标准》（2025）  。</w:t>
      </w:r>
    </w:p>
    <w:p w14:paraId="7AC2F0E3">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12.3.2 计量周期</w:t>
      </w:r>
    </w:p>
    <w:p w14:paraId="2B73E610">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关于计量周期的约定：</w:t>
      </w:r>
      <w:r>
        <w:rPr>
          <w:rFonts w:hint="eastAsia" w:ascii="宋体" w:hAnsi="宋体" w:cs="宋体"/>
          <w:color w:val="000000" w:themeColor="text1"/>
          <w:kern w:val="21"/>
          <w:szCs w:val="21"/>
          <w:highlight w:val="none"/>
          <w:u w:val="single"/>
          <w14:textFill>
            <w14:solidFill>
              <w14:schemeClr w14:val="tx1"/>
            </w14:solidFill>
          </w14:textFill>
        </w:rPr>
        <w:t xml:space="preserve">竣工统一计量  </w:t>
      </w:r>
      <w:r>
        <w:rPr>
          <w:rFonts w:hint="eastAsia" w:ascii="宋体" w:hAnsi="宋体" w:cs="宋体"/>
          <w:color w:val="000000" w:themeColor="text1"/>
          <w:kern w:val="21"/>
          <w:szCs w:val="21"/>
          <w:highlight w:val="none"/>
          <w14:textFill>
            <w14:solidFill>
              <w14:schemeClr w14:val="tx1"/>
            </w14:solidFill>
          </w14:textFill>
        </w:rPr>
        <w:t>。</w:t>
      </w:r>
    </w:p>
    <w:p w14:paraId="00D915DB">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12.3.3 单价合同的计量</w:t>
      </w:r>
    </w:p>
    <w:p w14:paraId="4F6C51D7">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关于单价合同计量的约定：</w:t>
      </w:r>
      <w:r>
        <w:rPr>
          <w:rFonts w:hint="eastAsia" w:ascii="宋体" w:hAnsi="宋体" w:cs="宋体"/>
          <w:color w:val="000000" w:themeColor="text1"/>
          <w:kern w:val="21"/>
          <w:szCs w:val="21"/>
          <w:highlight w:val="none"/>
          <w:u w:val="single"/>
          <w14:textFill>
            <w14:solidFill>
              <w14:schemeClr w14:val="tx1"/>
            </w14:solidFill>
          </w14:textFill>
        </w:rPr>
        <w:t xml:space="preserve">按实际完成工程量计量 </w:t>
      </w:r>
      <w:r>
        <w:rPr>
          <w:rFonts w:hint="eastAsia" w:ascii="宋体" w:hAnsi="宋体" w:cs="宋体"/>
          <w:color w:val="000000" w:themeColor="text1"/>
          <w:kern w:val="21"/>
          <w:szCs w:val="21"/>
          <w:highlight w:val="none"/>
          <w14:textFill>
            <w14:solidFill>
              <w14:schemeClr w14:val="tx1"/>
            </w14:solidFill>
          </w14:textFill>
        </w:rPr>
        <w:t>。</w:t>
      </w:r>
    </w:p>
    <w:p w14:paraId="0AC87AF6">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12.3.4 总价合同的计量</w:t>
      </w:r>
    </w:p>
    <w:p w14:paraId="321A2706">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关于总价合同计量的约定：</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p>
    <w:p w14:paraId="5C643F6A">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12.3.5总价合同采用支付分解表计量支付的，是否适用第12.3.4 项〔总价合同的计量〕约定进行计量：</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p w14:paraId="286052F7">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12.3.6 其他价格形式合同的计量</w:t>
      </w:r>
    </w:p>
    <w:p w14:paraId="60A59E11">
      <w:pPr>
        <w:spacing w:line="480" w:lineRule="exact"/>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其他价格形式的计量方式和程序：</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p>
    <w:p w14:paraId="0C5B2B18">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12.4 工程进度款支付</w:t>
      </w:r>
    </w:p>
    <w:p w14:paraId="49AC4070">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bookmarkStart w:id="474" w:name="_Toc300935006"/>
      <w:bookmarkStart w:id="475" w:name="_Toc296346712"/>
      <w:bookmarkStart w:id="476" w:name="_Toc296891251"/>
      <w:bookmarkStart w:id="477" w:name="_Toc296944550"/>
      <w:bookmarkStart w:id="478" w:name="_Toc292559416"/>
      <w:bookmarkStart w:id="479" w:name="_Toc296891039"/>
      <w:bookmarkStart w:id="480" w:name="_Toc292559921"/>
      <w:bookmarkStart w:id="481" w:name="_Toc297120511"/>
      <w:bookmarkStart w:id="482" w:name="_Toc296347210"/>
      <w:bookmarkStart w:id="483" w:name="_Toc297048397"/>
      <w:bookmarkStart w:id="484" w:name="_Toc297216215"/>
      <w:bookmarkStart w:id="485" w:name="_Toc296503211"/>
      <w:bookmarkStart w:id="486" w:name="_Toc297123556"/>
      <w:bookmarkStart w:id="487" w:name="_Toc303539163"/>
      <w:r>
        <w:rPr>
          <w:rFonts w:hint="eastAsia" w:ascii="宋体" w:hAnsi="宋体" w:cs="宋体"/>
          <w:color w:val="000000" w:themeColor="text1"/>
          <w:kern w:val="21"/>
          <w:szCs w:val="21"/>
          <w:highlight w:val="none"/>
          <w14:textFill>
            <w14:solidFill>
              <w14:schemeClr w14:val="tx1"/>
            </w14:solidFill>
          </w14:textFill>
        </w:rPr>
        <w:t>12.4.1 付款周期</w:t>
      </w:r>
    </w:p>
    <w:p w14:paraId="33C59AE8">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关于付款周期的约定：</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p>
    <w:p w14:paraId="35AF675A">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12.4.2 进度付款申请单的编制</w:t>
      </w:r>
    </w:p>
    <w:p w14:paraId="2CD7EDF2">
      <w:pPr>
        <w:spacing w:line="480" w:lineRule="exact"/>
        <w:ind w:firstLine="420" w:firstLineChars="200"/>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关于进度付款申请单编制的约定：</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w:t>
      </w:r>
    </w:p>
    <w:p w14:paraId="1B80006D">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r>
        <w:rPr>
          <w:rFonts w:hint="eastAsia" w:ascii="宋体" w:hAnsi="宋体" w:cs="宋体"/>
          <w:color w:val="000000" w:themeColor="text1"/>
          <w:kern w:val="21"/>
          <w:szCs w:val="21"/>
          <w:highlight w:val="none"/>
          <w14:textFill>
            <w14:solidFill>
              <w14:schemeClr w14:val="tx1"/>
            </w14:solidFill>
          </w14:textFill>
        </w:rPr>
        <w:t>2.4.3 进度付款申请单的提交</w:t>
      </w:r>
    </w:p>
    <w:p w14:paraId="5B489BFD">
      <w:pPr>
        <w:spacing w:line="480" w:lineRule="exact"/>
        <w:ind w:firstLine="420" w:firstLineChars="200"/>
        <w:jc w:val="left"/>
        <w:rPr>
          <w:rFonts w:hint="eastAsia"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lang w:eastAsia="zh-CN"/>
          <w14:textFill>
            <w14:solidFill>
              <w14:schemeClr w14:val="tx1"/>
            </w14:solidFill>
          </w14:textFill>
        </w:rPr>
        <w:t>（</w:t>
      </w:r>
      <w:r>
        <w:rPr>
          <w:rFonts w:hint="eastAsia" w:ascii="宋体" w:hAnsi="宋体" w:cs="宋体"/>
          <w:color w:val="000000" w:themeColor="text1"/>
          <w:kern w:val="21"/>
          <w:szCs w:val="21"/>
          <w:highlight w:val="none"/>
          <w:lang w:val="en-US" w:eastAsia="zh-CN"/>
          <w14:textFill>
            <w14:solidFill>
              <w14:schemeClr w14:val="tx1"/>
            </w14:solidFill>
          </w14:textFill>
        </w:rPr>
        <w:t>1</w:t>
      </w:r>
      <w:r>
        <w:rPr>
          <w:rFonts w:hint="eastAsia" w:ascii="宋体" w:hAnsi="宋体" w:cs="宋体"/>
          <w:color w:val="000000" w:themeColor="text1"/>
          <w:kern w:val="21"/>
          <w:szCs w:val="21"/>
          <w:highlight w:val="none"/>
          <w:lang w:eastAsia="zh-CN"/>
          <w14:textFill>
            <w14:solidFill>
              <w14:schemeClr w14:val="tx1"/>
            </w14:solidFill>
          </w14:textFill>
        </w:rPr>
        <w:t>）</w:t>
      </w:r>
      <w:r>
        <w:rPr>
          <w:rFonts w:hint="eastAsia" w:ascii="宋体" w:hAnsi="宋体" w:cs="宋体"/>
          <w:color w:val="000000" w:themeColor="text1"/>
          <w:kern w:val="21"/>
          <w:szCs w:val="21"/>
          <w:highlight w:val="none"/>
          <w14:textFill>
            <w14:solidFill>
              <w14:schemeClr w14:val="tx1"/>
            </w14:solidFill>
          </w14:textFill>
        </w:rPr>
        <w:t>工程竣工验收</w:t>
      </w:r>
      <w:bookmarkStart w:id="656" w:name="_GoBack"/>
      <w:bookmarkEnd w:id="656"/>
      <w:r>
        <w:rPr>
          <w:rFonts w:hint="eastAsia" w:ascii="宋体" w:hAnsi="宋体" w:cs="宋体"/>
          <w:color w:val="000000" w:themeColor="text1"/>
          <w:kern w:val="21"/>
          <w:szCs w:val="21"/>
          <w:highlight w:val="none"/>
          <w14:textFill>
            <w14:solidFill>
              <w14:schemeClr w14:val="tx1"/>
            </w14:solidFill>
          </w14:textFill>
        </w:rPr>
        <w:t>合格后付款 ，达到付款条件起 15 日内，支付合同总金额的 80.00%。</w:t>
      </w:r>
    </w:p>
    <w:p w14:paraId="663B80B7">
      <w:pPr>
        <w:spacing w:line="480" w:lineRule="exact"/>
        <w:ind w:firstLine="420" w:firstLineChars="200"/>
        <w:jc w:val="left"/>
        <w:rPr>
          <w:rFonts w:hint="eastAsia"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lang w:eastAsia="zh-CN"/>
          <w14:textFill>
            <w14:solidFill>
              <w14:schemeClr w14:val="tx1"/>
            </w14:solidFill>
          </w14:textFill>
        </w:rPr>
        <w:t>（</w:t>
      </w:r>
      <w:r>
        <w:rPr>
          <w:rFonts w:hint="eastAsia" w:ascii="宋体" w:hAnsi="宋体" w:cs="宋体"/>
          <w:color w:val="000000" w:themeColor="text1"/>
          <w:kern w:val="21"/>
          <w:szCs w:val="21"/>
          <w:highlight w:val="none"/>
          <w:lang w:val="en-US" w:eastAsia="zh-CN"/>
          <w14:textFill>
            <w14:solidFill>
              <w14:schemeClr w14:val="tx1"/>
            </w14:solidFill>
          </w14:textFill>
        </w:rPr>
        <w:t>2</w:t>
      </w:r>
      <w:r>
        <w:rPr>
          <w:rFonts w:hint="eastAsia" w:ascii="宋体" w:hAnsi="宋体" w:cs="宋体"/>
          <w:color w:val="000000" w:themeColor="text1"/>
          <w:kern w:val="21"/>
          <w:szCs w:val="21"/>
          <w:highlight w:val="none"/>
          <w:lang w:eastAsia="zh-CN"/>
          <w14:textFill>
            <w14:solidFill>
              <w14:schemeClr w14:val="tx1"/>
            </w14:solidFill>
          </w14:textFill>
        </w:rPr>
        <w:t>）</w:t>
      </w:r>
      <w:r>
        <w:rPr>
          <w:rFonts w:hint="eastAsia" w:ascii="宋体" w:hAnsi="宋体" w:cs="宋体"/>
          <w:color w:val="000000" w:themeColor="text1"/>
          <w:kern w:val="21"/>
          <w:szCs w:val="21"/>
          <w:highlight w:val="none"/>
          <w14:textFill>
            <w14:solidFill>
              <w14:schemeClr w14:val="tx1"/>
            </w14:solidFill>
          </w14:textFill>
        </w:rPr>
        <w:t>经审计完成后拨付剩余工程款 ，达到付款条件起 15 日内，支付合同总金额的 17.00%。</w:t>
      </w:r>
    </w:p>
    <w:p w14:paraId="7931BC0A">
      <w:pPr>
        <w:spacing w:line="480" w:lineRule="exact"/>
        <w:ind w:firstLine="420" w:firstLineChars="200"/>
        <w:jc w:val="left"/>
        <w:rPr>
          <w:rFonts w:hint="eastAsia"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lang w:eastAsia="zh-CN"/>
          <w14:textFill>
            <w14:solidFill>
              <w14:schemeClr w14:val="tx1"/>
            </w14:solidFill>
          </w14:textFill>
        </w:rPr>
        <w:t>（</w:t>
      </w:r>
      <w:r>
        <w:rPr>
          <w:rFonts w:hint="eastAsia" w:ascii="宋体" w:hAnsi="宋体" w:cs="宋体"/>
          <w:color w:val="000000" w:themeColor="text1"/>
          <w:kern w:val="21"/>
          <w:szCs w:val="21"/>
          <w:highlight w:val="none"/>
          <w:lang w:val="en-US" w:eastAsia="zh-CN"/>
          <w14:textFill>
            <w14:solidFill>
              <w14:schemeClr w14:val="tx1"/>
            </w14:solidFill>
          </w14:textFill>
        </w:rPr>
        <w:t>3</w:t>
      </w:r>
      <w:r>
        <w:rPr>
          <w:rFonts w:hint="eastAsia" w:ascii="宋体" w:hAnsi="宋体" w:cs="宋体"/>
          <w:color w:val="000000" w:themeColor="text1"/>
          <w:kern w:val="21"/>
          <w:szCs w:val="21"/>
          <w:highlight w:val="none"/>
          <w:lang w:eastAsia="zh-CN"/>
          <w14:textFill>
            <w14:solidFill>
              <w14:schemeClr w14:val="tx1"/>
            </w14:solidFill>
          </w14:textFill>
        </w:rPr>
        <w:t>）</w:t>
      </w:r>
      <w:r>
        <w:rPr>
          <w:rFonts w:hint="eastAsia" w:ascii="宋体" w:hAnsi="宋体" w:cs="宋体"/>
          <w:color w:val="000000" w:themeColor="text1"/>
          <w:kern w:val="21"/>
          <w:szCs w:val="21"/>
          <w:highlight w:val="none"/>
          <w14:textFill>
            <w14:solidFill>
              <w14:schemeClr w14:val="tx1"/>
            </w14:solidFill>
          </w14:textFill>
        </w:rPr>
        <w:t>缺陷责任期满后15日内支付剩余3%审定金额 ，达到付款条件起 15 日内，支付合同总金额</w:t>
      </w:r>
    </w:p>
    <w:p w14:paraId="2A12A9CB">
      <w:pPr>
        <w:spacing w:line="480" w:lineRule="exact"/>
        <w:ind w:firstLine="420" w:firstLineChars="200"/>
        <w:jc w:val="left"/>
        <w:rPr>
          <w:rFonts w:hint="eastAsia"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的 3.00%。</w:t>
      </w:r>
    </w:p>
    <w:p w14:paraId="2D830968">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12.4.4 进度款审核和支付</w:t>
      </w:r>
    </w:p>
    <w:p w14:paraId="75730AA8">
      <w:pPr>
        <w:spacing w:line="480" w:lineRule="exact"/>
        <w:ind w:firstLine="420" w:firstLineChars="200"/>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（1）监理人审查并报送发包人的期限：</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 xml:space="preserve"> 。</w:t>
      </w:r>
    </w:p>
    <w:p w14:paraId="0F284627">
      <w:pPr>
        <w:spacing w:line="480" w:lineRule="exact"/>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发包人完成审批并签发进度款支付证书的期限：</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 xml:space="preserve"> 。</w:t>
      </w:r>
    </w:p>
    <w:p w14:paraId="1FAD910F">
      <w:pPr>
        <w:spacing w:line="480" w:lineRule="exact"/>
        <w:ind w:firstLine="420" w:firstLineChars="200"/>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（2）发包人支付进度款的期限：</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 xml:space="preserve"> 。</w:t>
      </w:r>
    </w:p>
    <w:p w14:paraId="3FFAB030">
      <w:pPr>
        <w:spacing w:line="480" w:lineRule="exact"/>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发包人逾期支付进度款的违约金的计算方式：</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p w14:paraId="4F45640D">
      <w:pPr>
        <w:spacing w:line="480" w:lineRule="exact"/>
        <w:ind w:firstLine="525" w:firstLineChars="25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12.4.6 支付分解表的编制</w:t>
      </w:r>
    </w:p>
    <w:p w14:paraId="23F0AA8C">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2、总价合同支付分解表的编制与审批：</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p w14:paraId="12A87BE9">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3、单价合同的总价项目支付分解表的编制与审批：</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bookmarkEnd w:id="315"/>
    <w:p w14:paraId="7354E590">
      <w:pPr>
        <w:spacing w:line="480" w:lineRule="exact"/>
        <w:jc w:val="left"/>
        <w:rPr>
          <w:rFonts w:hint="eastAsia" w:ascii="宋体" w:hAnsi="宋体" w:cs="宋体"/>
          <w:color w:val="000000" w:themeColor="text1"/>
          <w:kern w:val="21"/>
          <w:szCs w:val="21"/>
          <w:highlight w:val="none"/>
          <w14:textFill>
            <w14:solidFill>
              <w14:schemeClr w14:val="tx1"/>
            </w14:solidFill>
          </w14:textFill>
        </w:rPr>
      </w:pPr>
      <w:bookmarkStart w:id="488" w:name="_Toc351203645"/>
      <w:bookmarkStart w:id="489" w:name="_Toc292559929"/>
      <w:bookmarkStart w:id="490" w:name="_Toc296891259"/>
      <w:bookmarkStart w:id="491" w:name="_Toc296891047"/>
      <w:bookmarkStart w:id="492" w:name="_Toc297123564"/>
      <w:bookmarkStart w:id="493" w:name="_Toc297120519"/>
      <w:bookmarkStart w:id="494" w:name="_Toc297048405"/>
      <w:bookmarkStart w:id="495" w:name="_Toc300935015"/>
      <w:bookmarkStart w:id="496" w:name="_Toc296346720"/>
      <w:bookmarkStart w:id="497" w:name="_Toc297216223"/>
      <w:bookmarkStart w:id="498" w:name="_Toc304295593"/>
      <w:bookmarkStart w:id="499" w:name="_Toc292559424"/>
      <w:bookmarkStart w:id="500" w:name="_Toc303539172"/>
      <w:bookmarkStart w:id="501" w:name="_Toc296347218"/>
      <w:bookmarkStart w:id="502" w:name="_Toc312678053"/>
      <w:bookmarkStart w:id="503" w:name="_Toc296503219"/>
      <w:bookmarkStart w:id="504" w:name="_Toc296944558"/>
      <w:r>
        <w:rPr>
          <w:rFonts w:hint="eastAsia" w:ascii="宋体" w:hAnsi="宋体" w:cs="宋体"/>
          <w:color w:val="000000" w:themeColor="text1"/>
          <w:kern w:val="21"/>
          <w:szCs w:val="21"/>
          <w:highlight w:val="none"/>
          <w14:textFill>
            <w14:solidFill>
              <w14:schemeClr w14:val="tx1"/>
            </w14:solidFill>
          </w14:textFill>
        </w:rPr>
        <w:t>13. 验收和工程试车</w:t>
      </w:r>
      <w:bookmarkEnd w:id="488"/>
    </w:p>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14:paraId="2ACBC6BE">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13.1 分部分项工程验收</w:t>
      </w:r>
    </w:p>
    <w:p w14:paraId="7FF29B54">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13.1.2监理人不能按时进行验收时，应提前</w:t>
      </w:r>
      <w:r>
        <w:rPr>
          <w:rFonts w:hint="eastAsia" w:ascii="宋体" w:hAnsi="宋体" w:cs="宋体"/>
          <w:color w:val="000000" w:themeColor="text1"/>
          <w:kern w:val="21"/>
          <w:szCs w:val="21"/>
          <w:highlight w:val="none"/>
          <w:u w:val="single"/>
          <w14:textFill>
            <w14:solidFill>
              <w14:schemeClr w14:val="tx1"/>
            </w14:solidFill>
          </w14:textFill>
        </w:rPr>
        <w:t xml:space="preserve"> 24  </w:t>
      </w:r>
      <w:r>
        <w:rPr>
          <w:rFonts w:hint="eastAsia" w:ascii="宋体" w:hAnsi="宋体" w:cs="宋体"/>
          <w:color w:val="000000" w:themeColor="text1"/>
          <w:kern w:val="21"/>
          <w:szCs w:val="21"/>
          <w:highlight w:val="none"/>
          <w14:textFill>
            <w14:solidFill>
              <w14:schemeClr w14:val="tx1"/>
            </w14:solidFill>
          </w14:textFill>
        </w:rPr>
        <w:t>小时提交书面延期要求。</w:t>
      </w:r>
    </w:p>
    <w:p w14:paraId="6E69EABD">
      <w:pPr>
        <w:spacing w:line="480" w:lineRule="exact"/>
        <w:ind w:firstLine="420" w:firstLineChars="200"/>
        <w:jc w:val="left"/>
        <w:rPr>
          <w:rFonts w:ascii="宋体" w:hAnsi="宋体" w:cs="宋体"/>
          <w:b/>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关于延期最长不得超过：</w:t>
      </w:r>
      <w:r>
        <w:rPr>
          <w:rFonts w:hint="eastAsia" w:ascii="宋体" w:hAnsi="宋体" w:cs="宋体"/>
          <w:color w:val="000000" w:themeColor="text1"/>
          <w:kern w:val="21"/>
          <w:szCs w:val="21"/>
          <w:highlight w:val="none"/>
          <w:u w:val="single"/>
          <w14:textFill>
            <w14:solidFill>
              <w14:schemeClr w14:val="tx1"/>
            </w14:solidFill>
          </w14:textFill>
        </w:rPr>
        <w:t xml:space="preserve"> 24  </w:t>
      </w:r>
      <w:r>
        <w:rPr>
          <w:rFonts w:hint="eastAsia" w:ascii="宋体" w:hAnsi="宋体" w:cs="宋体"/>
          <w:color w:val="000000" w:themeColor="text1"/>
          <w:kern w:val="21"/>
          <w:szCs w:val="21"/>
          <w:highlight w:val="none"/>
          <w14:textFill>
            <w14:solidFill>
              <w14:schemeClr w14:val="tx1"/>
            </w14:solidFill>
          </w14:textFill>
        </w:rPr>
        <w:t>小时。</w:t>
      </w:r>
    </w:p>
    <w:p w14:paraId="7457F5A1">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bookmarkStart w:id="505" w:name="_Toc297048409"/>
      <w:bookmarkStart w:id="506" w:name="_Toc297216224"/>
      <w:bookmarkStart w:id="507" w:name="_Toc312678056"/>
      <w:bookmarkStart w:id="508" w:name="_Toc292559428"/>
      <w:bookmarkStart w:id="509" w:name="_Toc296346724"/>
      <w:bookmarkStart w:id="510" w:name="_Toc296891051"/>
      <w:bookmarkStart w:id="511" w:name="_Toc292559933"/>
      <w:bookmarkStart w:id="512" w:name="_Toc296503223"/>
      <w:bookmarkStart w:id="513" w:name="_Toc304295596"/>
      <w:bookmarkStart w:id="514" w:name="_Toc303539173"/>
      <w:bookmarkStart w:id="515" w:name="_Toc296944562"/>
      <w:bookmarkStart w:id="516" w:name="_Toc300935016"/>
      <w:bookmarkStart w:id="517" w:name="_Toc297123565"/>
      <w:bookmarkStart w:id="518" w:name="_Toc296347222"/>
      <w:bookmarkStart w:id="519" w:name="_Toc297120523"/>
      <w:bookmarkStart w:id="520" w:name="_Toc296891263"/>
      <w:bookmarkStart w:id="521" w:name="_Toc267251474"/>
      <w:bookmarkStart w:id="522" w:name="_Toc267251475"/>
      <w:bookmarkStart w:id="523" w:name="_Toc267251476"/>
      <w:bookmarkStart w:id="524" w:name="_Toc267251470"/>
      <w:bookmarkStart w:id="525" w:name="_Toc267251473"/>
      <w:bookmarkStart w:id="526" w:name="_Toc267251472"/>
      <w:bookmarkStart w:id="527" w:name="_Toc267251471"/>
      <w:r>
        <w:rPr>
          <w:rFonts w:hint="eastAsia" w:ascii="宋体" w:hAnsi="宋体" w:cs="宋体"/>
          <w:color w:val="000000" w:themeColor="text1"/>
          <w:kern w:val="21"/>
          <w:szCs w:val="21"/>
          <w:highlight w:val="none"/>
          <w14:textFill>
            <w14:solidFill>
              <w14:schemeClr w14:val="tx1"/>
            </w14:solidFill>
          </w14:textFill>
        </w:rPr>
        <w:t>13.2 竣工验收</w:t>
      </w:r>
    </w:p>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14:paraId="377F9F5A">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bookmarkStart w:id="528" w:name="_Toc280868704"/>
      <w:bookmarkStart w:id="529" w:name="_Toc280868705"/>
      <w:bookmarkStart w:id="530" w:name="_Toc280868706"/>
      <w:bookmarkStart w:id="531" w:name="_Toc280868707"/>
      <w:bookmarkStart w:id="532" w:name="_Toc280868708"/>
      <w:bookmarkStart w:id="533" w:name="_Toc280868709"/>
      <w:r>
        <w:rPr>
          <w:rFonts w:hint="eastAsia" w:ascii="宋体" w:hAnsi="宋体" w:cs="宋体"/>
          <w:color w:val="000000" w:themeColor="text1"/>
          <w:kern w:val="21"/>
          <w:szCs w:val="21"/>
          <w:highlight w:val="none"/>
          <w14:textFill>
            <w14:solidFill>
              <w14:schemeClr w14:val="tx1"/>
            </w14:solidFill>
          </w14:textFill>
        </w:rPr>
        <w:t>13.2.2竣工验收程序</w:t>
      </w:r>
    </w:p>
    <w:bookmarkEnd w:id="528"/>
    <w:p w14:paraId="7957A49D">
      <w:pPr>
        <w:spacing w:line="480" w:lineRule="exact"/>
        <w:ind w:firstLine="420" w:firstLineChars="200"/>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关于竣工验收程序的约定：</w:t>
      </w:r>
      <w:r>
        <w:rPr>
          <w:rFonts w:hint="eastAsia" w:ascii="宋体" w:hAnsi="宋体" w:cs="宋体"/>
          <w:color w:val="000000" w:themeColor="text1"/>
          <w:kern w:val="21"/>
          <w:szCs w:val="21"/>
          <w:highlight w:val="none"/>
          <w:u w:val="single"/>
          <w14:textFill>
            <w14:solidFill>
              <w14:schemeClr w14:val="tx1"/>
            </w14:solidFill>
          </w14:textFill>
        </w:rPr>
        <w:t xml:space="preserve">执行通用条款 </w:t>
      </w:r>
    </w:p>
    <w:p w14:paraId="276ECBCA">
      <w:pPr>
        <w:spacing w:line="480" w:lineRule="exact"/>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发包人不按照本项约定组织竣工验收、颁发工程接收证书的违约金的计算方法：</w:t>
      </w:r>
      <w:r>
        <w:rPr>
          <w:rFonts w:hint="eastAsia" w:ascii="宋体" w:hAnsi="宋体" w:cs="宋体"/>
          <w:color w:val="000000" w:themeColor="text1"/>
          <w:kern w:val="21"/>
          <w:szCs w:val="21"/>
          <w:highlight w:val="none"/>
          <w:u w:val="single"/>
          <w14:textFill>
            <w14:solidFill>
              <w14:schemeClr w14:val="tx1"/>
            </w14:solidFill>
          </w14:textFill>
        </w:rPr>
        <w:t>执行通用条款 。</w:t>
      </w:r>
    </w:p>
    <w:bookmarkEnd w:id="529"/>
    <w:p w14:paraId="49C75E0A">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13.2.5移交、接收全部与部分工程</w:t>
      </w:r>
    </w:p>
    <w:bookmarkEnd w:id="530"/>
    <w:p w14:paraId="60BEB78B">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承包人向发包人移交工程的期限：</w:t>
      </w:r>
      <w:r>
        <w:rPr>
          <w:rFonts w:hint="eastAsia" w:ascii="宋体" w:hAnsi="宋体" w:cs="宋体"/>
          <w:color w:val="000000" w:themeColor="text1"/>
          <w:kern w:val="21"/>
          <w:szCs w:val="21"/>
          <w:highlight w:val="none"/>
          <w:u w:val="single"/>
          <w14:textFill>
            <w14:solidFill>
              <w14:schemeClr w14:val="tx1"/>
            </w14:solidFill>
          </w14:textFill>
        </w:rPr>
        <w:t>验收整改合格后7天内 。</w:t>
      </w:r>
    </w:p>
    <w:p w14:paraId="0E9DF681">
      <w:pPr>
        <w:spacing w:line="480" w:lineRule="exact"/>
        <w:ind w:firstLine="420" w:firstLineChars="200"/>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发包人未按本合同约定接收全部或部分工程的，违约金的计算方法为：</w:t>
      </w:r>
      <w:r>
        <w:rPr>
          <w:rFonts w:hint="eastAsia" w:ascii="宋体" w:hAnsi="宋体" w:cs="宋体"/>
          <w:color w:val="000000" w:themeColor="text1"/>
          <w:kern w:val="21"/>
          <w:szCs w:val="21"/>
          <w:highlight w:val="none"/>
          <w:u w:val="single"/>
          <w14:textFill>
            <w14:solidFill>
              <w14:schemeClr w14:val="tx1"/>
            </w14:solidFill>
          </w14:textFill>
        </w:rPr>
        <w:t>执行通用条款 。</w:t>
      </w:r>
    </w:p>
    <w:bookmarkEnd w:id="531"/>
    <w:p w14:paraId="4EFCC488">
      <w:pPr>
        <w:spacing w:line="480" w:lineRule="exact"/>
        <w:ind w:firstLine="420" w:firstLineChars="200"/>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承包人未按时移交工程的，违约金的计算方法为：</w:t>
      </w:r>
      <w:r>
        <w:rPr>
          <w:rFonts w:hint="eastAsia" w:ascii="宋体" w:hAnsi="宋体" w:cs="宋体"/>
          <w:color w:val="000000" w:themeColor="text1"/>
          <w:kern w:val="21"/>
          <w:szCs w:val="21"/>
          <w:highlight w:val="none"/>
          <w:u w:val="single"/>
          <w14:textFill>
            <w14:solidFill>
              <w14:schemeClr w14:val="tx1"/>
            </w14:solidFill>
          </w14:textFill>
        </w:rPr>
        <w:t xml:space="preserve"> 逾期一天按照合同金额的万分之三执行。</w:t>
      </w:r>
    </w:p>
    <w:p w14:paraId="03B3598A">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13.3 工程试车</w:t>
      </w:r>
    </w:p>
    <w:bookmarkEnd w:id="532"/>
    <w:p w14:paraId="13906BC4">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13.3.1 试车程序</w:t>
      </w:r>
    </w:p>
    <w:p w14:paraId="7CC7CA7F">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工程试车内容：</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p w14:paraId="18CF8869">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（1）单机无负荷试车费用由</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承担；</w:t>
      </w:r>
    </w:p>
    <w:p w14:paraId="26C1D31F">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（2）无负荷联动试车费用由</w:t>
      </w:r>
      <w:r>
        <w:rPr>
          <w:rFonts w:hint="eastAsia" w:ascii="宋体" w:hAnsi="宋体" w:cs="宋体"/>
          <w:color w:val="000000" w:themeColor="text1"/>
          <w:kern w:val="21"/>
          <w:szCs w:val="21"/>
          <w:highlight w:val="none"/>
          <w:u w:val="single"/>
          <w14:textFill>
            <w14:solidFill>
              <w14:schemeClr w14:val="tx1"/>
            </w14:solidFill>
          </w14:textFill>
        </w:rPr>
        <w:t xml:space="preserve">承包人 </w:t>
      </w:r>
      <w:r>
        <w:rPr>
          <w:rFonts w:hint="eastAsia" w:ascii="宋体" w:hAnsi="宋体" w:cs="宋体"/>
          <w:color w:val="000000" w:themeColor="text1"/>
          <w:kern w:val="21"/>
          <w:szCs w:val="21"/>
          <w:highlight w:val="none"/>
          <w14:textFill>
            <w14:solidFill>
              <w14:schemeClr w14:val="tx1"/>
            </w14:solidFill>
          </w14:textFill>
        </w:rPr>
        <w:t>承担。</w:t>
      </w:r>
    </w:p>
    <w:p w14:paraId="663CAB34">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13.3.3 投料试车</w:t>
      </w:r>
    </w:p>
    <w:p w14:paraId="0F98926F">
      <w:pPr>
        <w:spacing w:line="480" w:lineRule="exact"/>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关于投料试车相关事项的约定：</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p w14:paraId="583E54CA">
      <w:pPr>
        <w:spacing w:after="120" w:line="480" w:lineRule="exact"/>
        <w:ind w:firstLine="420" w:firstLineChars="200"/>
        <w:outlineLvl w:val="0"/>
        <w:rPr>
          <w:rFonts w:ascii="宋体" w:hAnsi="宋体" w:cs="宋体"/>
          <w:color w:val="000000" w:themeColor="text1"/>
          <w:kern w:val="21"/>
          <w:szCs w:val="21"/>
          <w:highlight w:val="none"/>
          <w14:textFill>
            <w14:solidFill>
              <w14:schemeClr w14:val="tx1"/>
            </w14:solidFill>
          </w14:textFill>
        </w:rPr>
      </w:pPr>
      <w:bookmarkStart w:id="534" w:name="_Toc27124"/>
      <w:r>
        <w:rPr>
          <w:rFonts w:hint="eastAsia" w:ascii="宋体" w:hAnsi="宋体" w:cs="宋体"/>
          <w:color w:val="000000" w:themeColor="text1"/>
          <w:kern w:val="21"/>
          <w:szCs w:val="21"/>
          <w:highlight w:val="none"/>
          <w14:textFill>
            <w14:solidFill>
              <w14:schemeClr w14:val="tx1"/>
            </w14:solidFill>
          </w14:textFill>
        </w:rPr>
        <w:t>13.6 竣工退场</w:t>
      </w:r>
      <w:bookmarkEnd w:id="534"/>
    </w:p>
    <w:p w14:paraId="7CD0C5C1">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13.6.1 竣工退场</w:t>
      </w:r>
    </w:p>
    <w:p w14:paraId="0E8D9C5B">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承包人完成竣工退场的期限：</w:t>
      </w:r>
      <w:r>
        <w:rPr>
          <w:rFonts w:hint="eastAsia" w:ascii="宋体" w:hAnsi="宋体" w:cs="宋体"/>
          <w:color w:val="000000" w:themeColor="text1"/>
          <w:kern w:val="21"/>
          <w:szCs w:val="21"/>
          <w:highlight w:val="none"/>
          <w:u w:val="single"/>
          <w14:textFill>
            <w14:solidFill>
              <w14:schemeClr w14:val="tx1"/>
            </w14:solidFill>
          </w14:textFill>
        </w:rPr>
        <w:t xml:space="preserve"> 验收整改合格后15日内 </w:t>
      </w:r>
      <w:r>
        <w:rPr>
          <w:rFonts w:hint="eastAsia" w:ascii="宋体" w:hAnsi="宋体" w:cs="宋体"/>
          <w:color w:val="000000" w:themeColor="text1"/>
          <w:kern w:val="21"/>
          <w:szCs w:val="21"/>
          <w:highlight w:val="none"/>
          <w14:textFill>
            <w14:solidFill>
              <w14:schemeClr w14:val="tx1"/>
            </w14:solidFill>
          </w14:textFill>
        </w:rPr>
        <w:t>。</w:t>
      </w:r>
    </w:p>
    <w:p w14:paraId="07459393">
      <w:pPr>
        <w:pStyle w:val="4"/>
        <w:tabs>
          <w:tab w:val="left" w:pos="864"/>
        </w:tabs>
        <w:spacing w:before="120" w:after="120" w:line="480" w:lineRule="exact"/>
        <w:textAlignment w:val="auto"/>
        <w:rPr>
          <w:rFonts w:ascii="宋体" w:hAnsi="宋体" w:cs="宋体"/>
          <w:b w:val="0"/>
          <w:color w:val="000000" w:themeColor="text1"/>
          <w:kern w:val="21"/>
          <w:sz w:val="21"/>
          <w:szCs w:val="21"/>
          <w:highlight w:val="none"/>
          <w14:textFill>
            <w14:solidFill>
              <w14:schemeClr w14:val="tx1"/>
            </w14:solidFill>
          </w14:textFill>
        </w:rPr>
      </w:pPr>
      <w:bookmarkStart w:id="535" w:name="_Toc351203646"/>
      <w:r>
        <w:rPr>
          <w:rFonts w:hint="eastAsia" w:ascii="宋体" w:hAnsi="宋体" w:cs="宋体"/>
          <w:b w:val="0"/>
          <w:color w:val="000000" w:themeColor="text1"/>
          <w:kern w:val="21"/>
          <w:sz w:val="21"/>
          <w:szCs w:val="21"/>
          <w:highlight w:val="none"/>
          <w14:textFill>
            <w14:solidFill>
              <w14:schemeClr w14:val="tx1"/>
            </w14:solidFill>
          </w14:textFill>
        </w:rPr>
        <w:t>14. 竣工结算</w:t>
      </w:r>
      <w:bookmarkEnd w:id="535"/>
    </w:p>
    <w:p w14:paraId="51A35E32">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14.1 竣工结算申请</w:t>
      </w:r>
    </w:p>
    <w:p w14:paraId="5BEA6FFC">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承包人提交竣工结算申请单的期限：</w:t>
      </w:r>
      <w:r>
        <w:rPr>
          <w:rFonts w:hint="eastAsia" w:ascii="宋体" w:hAnsi="宋体" w:cs="宋体"/>
          <w:color w:val="000000" w:themeColor="text1"/>
          <w:kern w:val="21"/>
          <w:szCs w:val="21"/>
          <w:highlight w:val="none"/>
          <w:u w:val="single"/>
          <w14:textFill>
            <w14:solidFill>
              <w14:schemeClr w14:val="tx1"/>
            </w14:solidFill>
          </w14:textFill>
        </w:rPr>
        <w:t>为竣工验收合格后28日内</w:t>
      </w:r>
      <w:r>
        <w:rPr>
          <w:rFonts w:hint="eastAsia" w:ascii="宋体" w:hAnsi="宋体" w:cs="宋体"/>
          <w:color w:val="000000" w:themeColor="text1"/>
          <w:kern w:val="21"/>
          <w:szCs w:val="21"/>
          <w:highlight w:val="none"/>
          <w14:textFill>
            <w14:solidFill>
              <w14:schemeClr w14:val="tx1"/>
            </w14:solidFill>
          </w14:textFill>
        </w:rPr>
        <w:t>。</w:t>
      </w:r>
    </w:p>
    <w:p w14:paraId="1142C4D2">
      <w:pPr>
        <w:spacing w:line="480" w:lineRule="exact"/>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竣工结算申请单应包括的内容：</w:t>
      </w:r>
      <w:r>
        <w:rPr>
          <w:rFonts w:hint="eastAsia" w:ascii="宋体" w:hAnsi="宋体" w:cs="宋体"/>
          <w:color w:val="000000" w:themeColor="text1"/>
          <w:kern w:val="21"/>
          <w:szCs w:val="21"/>
          <w:highlight w:val="none"/>
          <w:u w:val="single"/>
          <w14:textFill>
            <w14:solidFill>
              <w14:schemeClr w14:val="tx1"/>
            </w14:solidFill>
          </w14:textFill>
        </w:rPr>
        <w:t>执行通用条款</w:t>
      </w:r>
      <w:r>
        <w:rPr>
          <w:rFonts w:hint="eastAsia" w:ascii="宋体" w:hAnsi="宋体" w:cs="宋体"/>
          <w:color w:val="000000" w:themeColor="text1"/>
          <w:kern w:val="21"/>
          <w:szCs w:val="21"/>
          <w:highlight w:val="none"/>
          <w14:textFill>
            <w14:solidFill>
              <w14:schemeClr w14:val="tx1"/>
            </w14:solidFill>
          </w14:textFill>
        </w:rPr>
        <w:t>。</w:t>
      </w:r>
    </w:p>
    <w:p w14:paraId="26357672">
      <w:pPr>
        <w:spacing w:after="120" w:line="480" w:lineRule="exact"/>
        <w:ind w:firstLine="420" w:firstLineChars="200"/>
        <w:outlineLvl w:val="0"/>
        <w:rPr>
          <w:rFonts w:ascii="宋体" w:hAnsi="宋体" w:cs="宋体"/>
          <w:color w:val="000000" w:themeColor="text1"/>
          <w:kern w:val="21"/>
          <w:szCs w:val="21"/>
          <w:highlight w:val="none"/>
          <w14:textFill>
            <w14:solidFill>
              <w14:schemeClr w14:val="tx1"/>
            </w14:solidFill>
          </w14:textFill>
        </w:rPr>
      </w:pPr>
      <w:bookmarkStart w:id="536" w:name="_Toc26307"/>
      <w:r>
        <w:rPr>
          <w:rFonts w:hint="eastAsia" w:ascii="宋体" w:hAnsi="宋体" w:cs="宋体"/>
          <w:color w:val="000000" w:themeColor="text1"/>
          <w:kern w:val="21"/>
          <w:szCs w:val="21"/>
          <w:highlight w:val="none"/>
          <w14:textFill>
            <w14:solidFill>
              <w14:schemeClr w14:val="tx1"/>
            </w14:solidFill>
          </w14:textFill>
        </w:rPr>
        <w:t>14.2 竣工结算审核</w:t>
      </w:r>
      <w:bookmarkEnd w:id="536"/>
    </w:p>
    <w:p w14:paraId="093637F6">
      <w:pPr>
        <w:spacing w:line="480" w:lineRule="exact"/>
        <w:ind w:firstLine="420" w:firstLineChars="200"/>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发包人审批竣工付款申请单的期限：</w:t>
      </w:r>
      <w:r>
        <w:rPr>
          <w:rFonts w:hint="eastAsia" w:ascii="宋体" w:hAnsi="宋体" w:cs="宋体"/>
          <w:color w:val="000000" w:themeColor="text1"/>
          <w:kern w:val="21"/>
          <w:szCs w:val="21"/>
          <w:highlight w:val="none"/>
          <w:u w:val="single"/>
          <w14:textFill>
            <w14:solidFill>
              <w14:schemeClr w14:val="tx1"/>
            </w14:solidFill>
          </w14:textFill>
        </w:rPr>
        <w:t xml:space="preserve"> 完成竣工结算审核后，承包人提交竣工付款申请15日内。</w:t>
      </w:r>
    </w:p>
    <w:p w14:paraId="6E802376">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发包人完成竣工付款的期限：</w:t>
      </w:r>
      <w:r>
        <w:rPr>
          <w:rFonts w:hint="eastAsia" w:ascii="宋体" w:hAnsi="宋体" w:cs="宋体"/>
          <w:color w:val="000000" w:themeColor="text1"/>
          <w:kern w:val="21"/>
          <w:szCs w:val="21"/>
          <w:highlight w:val="none"/>
          <w:u w:val="single"/>
          <w14:textFill>
            <w14:solidFill>
              <w14:schemeClr w14:val="tx1"/>
            </w14:solidFill>
          </w14:textFill>
        </w:rPr>
        <w:t xml:space="preserve">批准竣工付款申请后15日内 </w:t>
      </w:r>
      <w:r>
        <w:rPr>
          <w:rFonts w:hint="eastAsia" w:ascii="宋体" w:hAnsi="宋体" w:cs="宋体"/>
          <w:color w:val="000000" w:themeColor="text1"/>
          <w:kern w:val="21"/>
          <w:szCs w:val="21"/>
          <w:highlight w:val="none"/>
          <w14:textFill>
            <w14:solidFill>
              <w14:schemeClr w14:val="tx1"/>
            </w14:solidFill>
          </w14:textFill>
        </w:rPr>
        <w:t>。</w:t>
      </w:r>
    </w:p>
    <w:p w14:paraId="01A55398">
      <w:pPr>
        <w:spacing w:line="480" w:lineRule="exact"/>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关于竣工付款证书异议部分复核的方式和程序：  待异议解决后一并支付。</w:t>
      </w:r>
    </w:p>
    <w:p w14:paraId="03F4E05F">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14.4 最终结清</w:t>
      </w:r>
    </w:p>
    <w:p w14:paraId="488B42CF">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14.4.1 最终结清申请单</w:t>
      </w:r>
    </w:p>
    <w:p w14:paraId="197017F7">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承包人提交最终结清申请单的份数：</w:t>
      </w:r>
      <w:r>
        <w:rPr>
          <w:rFonts w:hint="eastAsia" w:ascii="宋体" w:hAnsi="宋体" w:cs="宋体"/>
          <w:color w:val="000000" w:themeColor="text1"/>
          <w:kern w:val="21"/>
          <w:szCs w:val="21"/>
          <w:highlight w:val="none"/>
          <w:u w:val="single"/>
          <w14:textFill>
            <w14:solidFill>
              <w14:schemeClr w14:val="tx1"/>
            </w14:solidFill>
          </w14:textFill>
        </w:rPr>
        <w:t xml:space="preserve">4份 </w:t>
      </w:r>
      <w:r>
        <w:rPr>
          <w:rFonts w:hint="eastAsia" w:ascii="宋体" w:hAnsi="宋体" w:cs="宋体"/>
          <w:color w:val="000000" w:themeColor="text1"/>
          <w:kern w:val="21"/>
          <w:szCs w:val="21"/>
          <w:highlight w:val="none"/>
          <w14:textFill>
            <w14:solidFill>
              <w14:schemeClr w14:val="tx1"/>
            </w14:solidFill>
          </w14:textFill>
        </w:rPr>
        <w:t>。</w:t>
      </w:r>
    </w:p>
    <w:p w14:paraId="69C09D45">
      <w:pPr>
        <w:spacing w:line="480" w:lineRule="exact"/>
        <w:ind w:firstLine="420" w:firstLineChars="200"/>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承包人提交最终结算申请单的期限：</w:t>
      </w:r>
      <w:r>
        <w:rPr>
          <w:rFonts w:hint="eastAsia" w:ascii="宋体" w:hAnsi="宋体" w:cs="宋体"/>
          <w:color w:val="000000" w:themeColor="text1"/>
          <w:kern w:val="21"/>
          <w:szCs w:val="21"/>
          <w:highlight w:val="none"/>
          <w:u w:val="single"/>
          <w14:textFill>
            <w14:solidFill>
              <w14:schemeClr w14:val="tx1"/>
            </w14:solidFill>
          </w14:textFill>
        </w:rPr>
        <w:t xml:space="preserve"> 工程竣工后28天内  。 </w:t>
      </w:r>
    </w:p>
    <w:p w14:paraId="5C4EB566">
      <w:pPr>
        <w:spacing w:line="480" w:lineRule="exact"/>
        <w:ind w:firstLine="420" w:firstLineChars="200"/>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u w:val="single"/>
          <w14:textFill>
            <w14:solidFill>
              <w14:schemeClr w14:val="tx1"/>
            </w14:solidFill>
          </w14:textFill>
        </w:rPr>
        <w:t>14.4.2 最终结清证书和支付</w:t>
      </w:r>
    </w:p>
    <w:p w14:paraId="71EDD104">
      <w:pPr>
        <w:spacing w:line="480" w:lineRule="exact"/>
        <w:ind w:firstLine="420" w:firstLineChars="200"/>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（1）发包人完成最终结清申请单的审批并颁发最终结清证书的期限：</w:t>
      </w:r>
      <w:r>
        <w:rPr>
          <w:rFonts w:hint="eastAsia" w:ascii="宋体" w:hAnsi="宋体" w:cs="宋体"/>
          <w:color w:val="000000" w:themeColor="text1"/>
          <w:kern w:val="21"/>
          <w:szCs w:val="21"/>
          <w:highlight w:val="none"/>
          <w:u w:val="single"/>
          <w14:textFill>
            <w14:solidFill>
              <w14:schemeClr w14:val="tx1"/>
            </w14:solidFill>
          </w14:textFill>
        </w:rPr>
        <w:t>收到最终结清申请单28天内  。</w:t>
      </w:r>
    </w:p>
    <w:p w14:paraId="45A35863">
      <w:pPr>
        <w:spacing w:line="480" w:lineRule="exact"/>
        <w:ind w:firstLine="420" w:firstLineChars="200"/>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（2）发包人完成支付的期限：</w:t>
      </w:r>
      <w:r>
        <w:rPr>
          <w:rFonts w:hint="eastAsia" w:ascii="宋体" w:hAnsi="宋体" w:cs="宋体"/>
          <w:color w:val="000000" w:themeColor="text1"/>
          <w:kern w:val="21"/>
          <w:szCs w:val="21"/>
          <w:highlight w:val="none"/>
          <w:u w:val="single"/>
          <w14:textFill>
            <w14:solidFill>
              <w14:schemeClr w14:val="tx1"/>
            </w14:solidFill>
          </w14:textFill>
        </w:rPr>
        <w:t xml:space="preserve"> 发出最终结清证书14天内 。</w:t>
      </w:r>
    </w:p>
    <w:bookmarkEnd w:id="521"/>
    <w:bookmarkEnd w:id="522"/>
    <w:bookmarkEnd w:id="523"/>
    <w:bookmarkEnd w:id="524"/>
    <w:bookmarkEnd w:id="525"/>
    <w:bookmarkEnd w:id="526"/>
    <w:bookmarkEnd w:id="527"/>
    <w:bookmarkEnd w:id="533"/>
    <w:p w14:paraId="1F36C116">
      <w:pPr>
        <w:pStyle w:val="4"/>
        <w:tabs>
          <w:tab w:val="left" w:pos="864"/>
        </w:tabs>
        <w:spacing w:before="120" w:after="120" w:line="480" w:lineRule="exact"/>
        <w:textAlignment w:val="auto"/>
        <w:rPr>
          <w:rFonts w:ascii="宋体" w:hAnsi="宋体" w:cs="宋体"/>
          <w:b w:val="0"/>
          <w:color w:val="000000" w:themeColor="text1"/>
          <w:kern w:val="21"/>
          <w:sz w:val="21"/>
          <w:szCs w:val="21"/>
          <w:highlight w:val="none"/>
          <w14:textFill>
            <w14:solidFill>
              <w14:schemeClr w14:val="tx1"/>
            </w14:solidFill>
          </w14:textFill>
        </w:rPr>
      </w:pPr>
      <w:bookmarkStart w:id="537" w:name="_Toc351203647"/>
      <w:bookmarkStart w:id="538" w:name="_Toc267251483"/>
      <w:bookmarkStart w:id="539" w:name="_Toc267251484"/>
      <w:bookmarkStart w:id="540" w:name="_Toc267251482"/>
      <w:bookmarkStart w:id="541" w:name="_Toc267251485"/>
      <w:bookmarkStart w:id="542" w:name="_Toc267251486"/>
      <w:bookmarkStart w:id="543" w:name="_Toc267251490"/>
      <w:bookmarkStart w:id="544" w:name="_Toc267251489"/>
      <w:bookmarkStart w:id="545" w:name="_Toc267251488"/>
      <w:bookmarkStart w:id="546" w:name="_Toc267251491"/>
      <w:bookmarkStart w:id="547" w:name="_Toc267251492"/>
      <w:bookmarkStart w:id="548" w:name="_Toc267251498"/>
      <w:bookmarkStart w:id="549" w:name="_Toc267251494"/>
      <w:bookmarkStart w:id="550" w:name="_Toc267251497"/>
      <w:bookmarkStart w:id="551" w:name="_Toc267251501"/>
      <w:bookmarkStart w:id="552" w:name="_Toc267251502"/>
      <w:bookmarkStart w:id="553" w:name="_Toc267251496"/>
      <w:bookmarkStart w:id="554" w:name="_Toc267251495"/>
      <w:bookmarkStart w:id="555" w:name="_Toc267251493"/>
      <w:bookmarkStart w:id="556" w:name="_Toc267251499"/>
      <w:bookmarkStart w:id="557" w:name="_Toc267251503"/>
      <w:bookmarkStart w:id="558" w:name="_Toc267251506"/>
      <w:bookmarkStart w:id="559" w:name="_Toc267251504"/>
      <w:bookmarkStart w:id="560" w:name="_Toc267251507"/>
      <w:bookmarkStart w:id="561" w:name="_Toc267251508"/>
      <w:bookmarkStart w:id="562" w:name="_Toc267251513"/>
      <w:bookmarkStart w:id="563" w:name="_Toc267251509"/>
      <w:bookmarkStart w:id="564" w:name="_Toc267251514"/>
      <w:bookmarkStart w:id="565" w:name="_Toc267251515"/>
      <w:bookmarkStart w:id="566" w:name="_Toc267251511"/>
      <w:bookmarkStart w:id="567" w:name="_Toc267251510"/>
      <w:r>
        <w:rPr>
          <w:rFonts w:hint="eastAsia" w:ascii="宋体" w:hAnsi="宋体" w:cs="宋体"/>
          <w:b w:val="0"/>
          <w:color w:val="000000" w:themeColor="text1"/>
          <w:kern w:val="21"/>
          <w:sz w:val="21"/>
          <w:szCs w:val="21"/>
          <w:highlight w:val="none"/>
          <w14:textFill>
            <w14:solidFill>
              <w14:schemeClr w14:val="tx1"/>
            </w14:solidFill>
          </w14:textFill>
        </w:rPr>
        <w:t>15. 缺陷责任期与保修</w:t>
      </w:r>
      <w:bookmarkEnd w:id="537"/>
    </w:p>
    <w:p w14:paraId="0AE1653B">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15.2缺陷责任期</w:t>
      </w:r>
      <w:bookmarkEnd w:id="538"/>
    </w:p>
    <w:p w14:paraId="7B312D84">
      <w:pPr>
        <w:spacing w:line="480" w:lineRule="exact"/>
        <w:ind w:firstLine="420" w:firstLineChars="200"/>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缺陷责任期的具体期限：</w:t>
      </w:r>
      <w:r>
        <w:rPr>
          <w:rFonts w:hint="eastAsia" w:ascii="宋体" w:hAnsi="宋体" w:cs="宋体"/>
          <w:color w:val="000000" w:themeColor="text1"/>
          <w:kern w:val="21"/>
          <w:szCs w:val="21"/>
          <w:highlight w:val="none"/>
          <w:u w:val="single"/>
          <w14:textFill>
            <w14:solidFill>
              <w14:schemeClr w14:val="tx1"/>
            </w14:solidFill>
          </w14:textFill>
        </w:rPr>
        <w:t xml:space="preserve"> 2年 。</w:t>
      </w:r>
    </w:p>
    <w:p w14:paraId="1D986309">
      <w:pPr>
        <w:spacing w:after="120" w:line="480" w:lineRule="exact"/>
        <w:ind w:firstLine="420" w:firstLineChars="200"/>
        <w:outlineLvl w:val="0"/>
        <w:rPr>
          <w:rFonts w:ascii="宋体" w:hAnsi="宋体" w:cs="宋体"/>
          <w:color w:val="000000" w:themeColor="text1"/>
          <w:kern w:val="21"/>
          <w:szCs w:val="21"/>
          <w:highlight w:val="none"/>
          <w14:textFill>
            <w14:solidFill>
              <w14:schemeClr w14:val="tx1"/>
            </w14:solidFill>
          </w14:textFill>
        </w:rPr>
      </w:pPr>
      <w:bookmarkStart w:id="568" w:name="_Toc7803"/>
      <w:r>
        <w:rPr>
          <w:rFonts w:hint="eastAsia" w:ascii="宋体" w:hAnsi="宋体" w:cs="宋体"/>
          <w:color w:val="000000" w:themeColor="text1"/>
          <w:kern w:val="21"/>
          <w:szCs w:val="21"/>
          <w:highlight w:val="none"/>
          <w14:textFill>
            <w14:solidFill>
              <w14:schemeClr w14:val="tx1"/>
            </w14:solidFill>
          </w14:textFill>
        </w:rPr>
        <w:t>15.3 质量保证金</w:t>
      </w:r>
      <w:bookmarkEnd w:id="568"/>
    </w:p>
    <w:p w14:paraId="03188ED4">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关于是否扣留质量保证金的约定：</w:t>
      </w:r>
      <w:r>
        <w:rPr>
          <w:rFonts w:hint="eastAsia" w:ascii="宋体" w:hAnsi="宋体" w:cs="宋体"/>
          <w:color w:val="000000" w:themeColor="text1"/>
          <w:kern w:val="21"/>
          <w:szCs w:val="21"/>
          <w:highlight w:val="none"/>
          <w:u w:val="single"/>
          <w14:textFill>
            <w14:solidFill>
              <w14:schemeClr w14:val="tx1"/>
            </w14:solidFill>
          </w14:textFill>
        </w:rPr>
        <w:t xml:space="preserve">是 </w:t>
      </w:r>
      <w:r>
        <w:rPr>
          <w:rFonts w:hint="eastAsia" w:ascii="宋体" w:hAnsi="宋体" w:cs="宋体"/>
          <w:color w:val="000000" w:themeColor="text1"/>
          <w:kern w:val="21"/>
          <w:szCs w:val="21"/>
          <w:highlight w:val="none"/>
          <w14:textFill>
            <w14:solidFill>
              <w14:schemeClr w14:val="tx1"/>
            </w14:solidFill>
          </w14:textFill>
        </w:rPr>
        <w:t>。</w:t>
      </w:r>
    </w:p>
    <w:p w14:paraId="4F6D49C9">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在工程项目竣工前，承包人按专用合同条款第3.7条提供履约担保的，发包人不得同时预留工程质量保证金。</w:t>
      </w:r>
    </w:p>
    <w:p w14:paraId="622A31DE">
      <w:pPr>
        <w:spacing w:line="480" w:lineRule="exact"/>
        <w:ind w:firstLine="420" w:firstLineChars="200"/>
        <w:jc w:val="left"/>
        <w:outlineLvl w:val="0"/>
        <w:rPr>
          <w:rFonts w:ascii="宋体" w:hAnsi="宋体" w:cs="宋体"/>
          <w:color w:val="000000" w:themeColor="text1"/>
          <w:kern w:val="21"/>
          <w:szCs w:val="21"/>
          <w:highlight w:val="none"/>
          <w14:textFill>
            <w14:solidFill>
              <w14:schemeClr w14:val="tx1"/>
            </w14:solidFill>
          </w14:textFill>
        </w:rPr>
      </w:pPr>
      <w:bookmarkStart w:id="569" w:name="_Toc20628"/>
      <w:r>
        <w:rPr>
          <w:rFonts w:hint="eastAsia" w:ascii="宋体" w:hAnsi="宋体" w:cs="宋体"/>
          <w:color w:val="000000" w:themeColor="text1"/>
          <w:kern w:val="21"/>
          <w:szCs w:val="21"/>
          <w:highlight w:val="none"/>
          <w14:textFill>
            <w14:solidFill>
              <w14:schemeClr w14:val="tx1"/>
            </w14:solidFill>
          </w14:textFill>
        </w:rPr>
        <w:t>15.3.1 承包人提供质量保证金的方式</w:t>
      </w:r>
      <w:bookmarkEnd w:id="569"/>
    </w:p>
    <w:p w14:paraId="666A3FA9">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质量保证金采用以下第</w:t>
      </w:r>
      <w:r>
        <w:rPr>
          <w:rFonts w:hint="eastAsia" w:ascii="宋体" w:hAnsi="宋体" w:cs="宋体"/>
          <w:color w:val="000000" w:themeColor="text1"/>
          <w:kern w:val="21"/>
          <w:szCs w:val="21"/>
          <w:highlight w:val="none"/>
          <w:u w:val="single"/>
          <w14:textFill>
            <w14:solidFill>
              <w14:schemeClr w14:val="tx1"/>
            </w14:solidFill>
          </w14:textFill>
        </w:rPr>
        <w:t xml:space="preserve">  （2）   </w:t>
      </w:r>
      <w:r>
        <w:rPr>
          <w:rFonts w:hint="eastAsia" w:ascii="宋体" w:hAnsi="宋体" w:cs="宋体"/>
          <w:color w:val="000000" w:themeColor="text1"/>
          <w:kern w:val="21"/>
          <w:szCs w:val="21"/>
          <w:highlight w:val="none"/>
          <w14:textFill>
            <w14:solidFill>
              <w14:schemeClr w14:val="tx1"/>
            </w14:solidFill>
          </w14:textFill>
        </w:rPr>
        <w:t>种方式：</w:t>
      </w:r>
    </w:p>
    <w:p w14:paraId="5301C97F">
      <w:pPr>
        <w:autoSpaceDE w:val="0"/>
        <w:autoSpaceDN w:val="0"/>
        <w:adjustRightInd w:val="0"/>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（1）质量保证金保函，保证金额为：</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 xml:space="preserve">； </w:t>
      </w:r>
    </w:p>
    <w:p w14:paraId="7FFB48D1">
      <w:pPr>
        <w:autoSpaceDE w:val="0"/>
        <w:autoSpaceDN w:val="0"/>
        <w:adjustRightInd w:val="0"/>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（2）</w:t>
      </w:r>
      <w:r>
        <w:rPr>
          <w:rFonts w:hint="eastAsia" w:ascii="宋体" w:hAnsi="宋体" w:cs="宋体"/>
          <w:color w:val="000000" w:themeColor="text1"/>
          <w:kern w:val="21"/>
          <w:szCs w:val="21"/>
          <w:highlight w:val="none"/>
          <w:u w:val="single"/>
          <w14:textFill>
            <w14:solidFill>
              <w14:schemeClr w14:val="tx1"/>
            </w14:solidFill>
          </w14:textFill>
        </w:rPr>
        <w:t>3</w:t>
      </w:r>
      <w:r>
        <w:rPr>
          <w:rFonts w:hint="eastAsia" w:ascii="宋体" w:hAnsi="宋体" w:cs="宋体"/>
          <w:color w:val="000000" w:themeColor="text1"/>
          <w:kern w:val="21"/>
          <w:szCs w:val="21"/>
          <w:highlight w:val="none"/>
          <w14:textFill>
            <w14:solidFill>
              <w14:schemeClr w14:val="tx1"/>
            </w14:solidFill>
          </w14:textFill>
        </w:rPr>
        <w:t>%的工程款；</w:t>
      </w:r>
    </w:p>
    <w:p w14:paraId="4E172D72">
      <w:pPr>
        <w:autoSpaceDE w:val="0"/>
        <w:autoSpaceDN w:val="0"/>
        <w:adjustRightInd w:val="0"/>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（3）其他方式:</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p>
    <w:p w14:paraId="71C5504B">
      <w:pPr>
        <w:spacing w:line="480" w:lineRule="exact"/>
        <w:ind w:firstLine="420" w:firstLineChars="200"/>
        <w:jc w:val="left"/>
        <w:outlineLvl w:val="0"/>
        <w:rPr>
          <w:rFonts w:ascii="宋体" w:hAnsi="宋体" w:cs="宋体"/>
          <w:color w:val="000000" w:themeColor="text1"/>
          <w:kern w:val="21"/>
          <w:szCs w:val="21"/>
          <w:highlight w:val="none"/>
          <w14:textFill>
            <w14:solidFill>
              <w14:schemeClr w14:val="tx1"/>
            </w14:solidFill>
          </w14:textFill>
        </w:rPr>
      </w:pPr>
      <w:bookmarkStart w:id="570" w:name="_Toc17273"/>
      <w:r>
        <w:rPr>
          <w:rFonts w:hint="eastAsia" w:ascii="宋体" w:hAnsi="宋体" w:cs="宋体"/>
          <w:color w:val="000000" w:themeColor="text1"/>
          <w:kern w:val="21"/>
          <w:szCs w:val="21"/>
          <w:highlight w:val="none"/>
          <w14:textFill>
            <w14:solidFill>
              <w14:schemeClr w14:val="tx1"/>
            </w14:solidFill>
          </w14:textFill>
        </w:rPr>
        <w:t>15.3.2 质量保证金的扣留</w:t>
      </w:r>
      <w:bookmarkEnd w:id="570"/>
      <w:r>
        <w:rPr>
          <w:rFonts w:hint="eastAsia" w:ascii="宋体" w:hAnsi="宋体" w:cs="宋体"/>
          <w:color w:val="000000" w:themeColor="text1"/>
          <w:kern w:val="21"/>
          <w:szCs w:val="21"/>
          <w:highlight w:val="none"/>
          <w14:textFill>
            <w14:solidFill>
              <w14:schemeClr w14:val="tx1"/>
            </w14:solidFill>
          </w14:textFill>
        </w:rPr>
        <w:t xml:space="preserve"> </w:t>
      </w:r>
    </w:p>
    <w:p w14:paraId="59496066">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质量保证金的扣留采取以下第</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种方式：</w:t>
      </w:r>
    </w:p>
    <w:p w14:paraId="57CB02E1">
      <w:pPr>
        <w:autoSpaceDE w:val="0"/>
        <w:autoSpaceDN w:val="0"/>
        <w:adjustRightInd w:val="0"/>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（1）在支付工程进度款时逐次扣留，在此情形下，质量保证金的计算基数不包括预付款的支付、扣回以及价格调整的金额；</w:t>
      </w:r>
    </w:p>
    <w:p w14:paraId="169E45E8">
      <w:pPr>
        <w:autoSpaceDE w:val="0"/>
        <w:autoSpaceDN w:val="0"/>
        <w:adjustRightInd w:val="0"/>
        <w:spacing w:line="480" w:lineRule="exact"/>
        <w:ind w:firstLine="420" w:firstLineChars="200"/>
        <w:jc w:val="left"/>
        <w:outlineLvl w:val="0"/>
        <w:rPr>
          <w:rFonts w:ascii="宋体" w:hAnsi="宋体" w:cs="宋体"/>
          <w:color w:val="000000" w:themeColor="text1"/>
          <w:kern w:val="21"/>
          <w:szCs w:val="21"/>
          <w:highlight w:val="none"/>
          <w14:textFill>
            <w14:solidFill>
              <w14:schemeClr w14:val="tx1"/>
            </w14:solidFill>
          </w14:textFill>
        </w:rPr>
      </w:pPr>
      <w:bookmarkStart w:id="571" w:name="_Toc20590"/>
      <w:r>
        <w:rPr>
          <w:rFonts w:hint="eastAsia" w:ascii="宋体" w:hAnsi="宋体" w:cs="宋体"/>
          <w:color w:val="000000" w:themeColor="text1"/>
          <w:kern w:val="21"/>
          <w:szCs w:val="21"/>
          <w:highlight w:val="none"/>
          <w14:textFill>
            <w14:solidFill>
              <w14:schemeClr w14:val="tx1"/>
            </w14:solidFill>
          </w14:textFill>
        </w:rPr>
        <w:t>（2）工程竣工结算时一次性扣留质量保证金；</w:t>
      </w:r>
      <w:bookmarkEnd w:id="571"/>
    </w:p>
    <w:p w14:paraId="0094882D">
      <w:pPr>
        <w:autoSpaceDE w:val="0"/>
        <w:autoSpaceDN w:val="0"/>
        <w:adjustRightInd w:val="0"/>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（3）其他扣留方式:</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p>
    <w:p w14:paraId="453AA64F">
      <w:pPr>
        <w:spacing w:line="480" w:lineRule="exact"/>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关于质量保证金的补充约定：</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bookmarkEnd w:id="539"/>
    <w:bookmarkEnd w:id="540"/>
    <w:p w14:paraId="5ACFBC53">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15.4保修</w:t>
      </w:r>
    </w:p>
    <w:bookmarkEnd w:id="541"/>
    <w:p w14:paraId="46C62FF1">
      <w:pPr>
        <w:spacing w:line="480" w:lineRule="exact"/>
        <w:ind w:firstLine="409" w:firstLineChars="195"/>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15.4.1 保修责任</w:t>
      </w:r>
    </w:p>
    <w:p w14:paraId="241572F5">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工程保修期为：</w:t>
      </w:r>
      <w:r>
        <w:rPr>
          <w:rFonts w:hint="eastAsia" w:ascii="宋体" w:hAnsi="宋体" w:cs="宋体"/>
          <w:color w:val="000000" w:themeColor="text1"/>
          <w:kern w:val="21"/>
          <w:szCs w:val="21"/>
          <w:highlight w:val="none"/>
          <w:u w:val="single"/>
          <w14:textFill>
            <w14:solidFill>
              <w14:schemeClr w14:val="tx1"/>
            </w14:solidFill>
          </w14:textFill>
        </w:rPr>
        <w:t xml:space="preserve">按照工程保修书内容执行 </w:t>
      </w:r>
      <w:r>
        <w:rPr>
          <w:rFonts w:hint="eastAsia" w:ascii="宋体" w:hAnsi="宋体" w:cs="宋体"/>
          <w:color w:val="000000" w:themeColor="text1"/>
          <w:kern w:val="21"/>
          <w:szCs w:val="21"/>
          <w:highlight w:val="none"/>
          <w14:textFill>
            <w14:solidFill>
              <w14:schemeClr w14:val="tx1"/>
            </w14:solidFill>
          </w14:textFill>
        </w:rPr>
        <w:t>。</w:t>
      </w:r>
    </w:p>
    <w:p w14:paraId="554A4BE0">
      <w:pPr>
        <w:spacing w:line="480" w:lineRule="exact"/>
        <w:ind w:firstLine="409" w:firstLineChars="195"/>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15.4.3 修复通知</w:t>
      </w:r>
    </w:p>
    <w:p w14:paraId="515DB407">
      <w:pPr>
        <w:spacing w:line="480" w:lineRule="exact"/>
        <w:ind w:firstLine="409" w:firstLineChars="195"/>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承包人收到保修通知并到达工程现场的合理时间：</w:t>
      </w:r>
      <w:r>
        <w:rPr>
          <w:rFonts w:hint="eastAsia" w:ascii="宋体" w:hAnsi="宋体" w:cs="宋体"/>
          <w:color w:val="000000" w:themeColor="text1"/>
          <w:kern w:val="21"/>
          <w:szCs w:val="21"/>
          <w:highlight w:val="none"/>
          <w:u w:val="single"/>
          <w14:textFill>
            <w14:solidFill>
              <w14:schemeClr w14:val="tx1"/>
            </w14:solidFill>
          </w14:textFill>
        </w:rPr>
        <w:t>承包人在接到保修通知之时起24小时内派人到达现场开展保修工作.承包人不能在约定期限内派人到达现场开展保修工作的,或发包人无法与承包人委托的保修负责人取得联系的，在24小时后由发包人委托他人维修,维修费用由承包方全部承担。</w:t>
      </w:r>
    </w:p>
    <w:bookmarkEnd w:id="542"/>
    <w:bookmarkEnd w:id="543"/>
    <w:bookmarkEnd w:id="544"/>
    <w:bookmarkEnd w:id="545"/>
    <w:p w14:paraId="7F612C4F">
      <w:pPr>
        <w:pStyle w:val="4"/>
        <w:tabs>
          <w:tab w:val="left" w:pos="864"/>
        </w:tabs>
        <w:spacing w:before="120" w:after="120" w:line="480" w:lineRule="exact"/>
        <w:textAlignment w:val="auto"/>
        <w:rPr>
          <w:rFonts w:ascii="宋体" w:hAnsi="宋体" w:cs="宋体"/>
          <w:b w:val="0"/>
          <w:color w:val="000000" w:themeColor="text1"/>
          <w:kern w:val="21"/>
          <w:sz w:val="21"/>
          <w:szCs w:val="21"/>
          <w:highlight w:val="none"/>
          <w14:textFill>
            <w14:solidFill>
              <w14:schemeClr w14:val="tx1"/>
            </w14:solidFill>
          </w14:textFill>
        </w:rPr>
      </w:pPr>
      <w:bookmarkStart w:id="572" w:name="_Toc351203648"/>
      <w:bookmarkStart w:id="573" w:name="_Toc280868717"/>
      <w:bookmarkStart w:id="574" w:name="_Toc280868718"/>
      <w:r>
        <w:rPr>
          <w:rFonts w:hint="eastAsia" w:ascii="宋体" w:hAnsi="宋体" w:cs="宋体"/>
          <w:b w:val="0"/>
          <w:color w:val="000000" w:themeColor="text1"/>
          <w:kern w:val="21"/>
          <w:sz w:val="21"/>
          <w:szCs w:val="21"/>
          <w:highlight w:val="none"/>
          <w14:textFill>
            <w14:solidFill>
              <w14:schemeClr w14:val="tx1"/>
            </w14:solidFill>
          </w14:textFill>
        </w:rPr>
        <w:t>16. 违约</w:t>
      </w:r>
      <w:bookmarkEnd w:id="572"/>
    </w:p>
    <w:p w14:paraId="52579C81">
      <w:pPr>
        <w:spacing w:after="120" w:line="480" w:lineRule="exact"/>
        <w:ind w:firstLine="420" w:firstLineChars="200"/>
        <w:outlineLvl w:val="0"/>
        <w:rPr>
          <w:rFonts w:ascii="宋体" w:hAnsi="宋体" w:cs="宋体"/>
          <w:color w:val="000000" w:themeColor="text1"/>
          <w:kern w:val="21"/>
          <w:szCs w:val="21"/>
          <w:highlight w:val="none"/>
          <w14:textFill>
            <w14:solidFill>
              <w14:schemeClr w14:val="tx1"/>
            </w14:solidFill>
          </w14:textFill>
        </w:rPr>
      </w:pPr>
      <w:bookmarkStart w:id="575" w:name="_Toc13585"/>
      <w:r>
        <w:rPr>
          <w:rFonts w:hint="eastAsia" w:ascii="宋体" w:hAnsi="宋体" w:cs="宋体"/>
          <w:color w:val="000000" w:themeColor="text1"/>
          <w:kern w:val="21"/>
          <w:szCs w:val="21"/>
          <w:highlight w:val="none"/>
          <w14:textFill>
            <w14:solidFill>
              <w14:schemeClr w14:val="tx1"/>
            </w14:solidFill>
          </w14:textFill>
        </w:rPr>
        <w:t>16.1 发包人违约</w:t>
      </w:r>
      <w:bookmarkEnd w:id="575"/>
    </w:p>
    <w:p w14:paraId="7FC6E4F5">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16.1.1发包人违约的情形</w:t>
      </w:r>
    </w:p>
    <w:p w14:paraId="00099F96">
      <w:pPr>
        <w:spacing w:line="480" w:lineRule="exact"/>
        <w:ind w:left="1109" w:leftChars="228" w:hanging="630" w:hangingChars="3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发包人违约的其他情形：</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p w14:paraId="553CBAD3">
      <w:pPr>
        <w:spacing w:line="480" w:lineRule="exact"/>
        <w:ind w:left="1050" w:hanging="1050" w:hangingChars="5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 xml:space="preserve">    16.1.2 发包人违约的责任</w:t>
      </w:r>
    </w:p>
    <w:p w14:paraId="13F8E044">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发包人违约责任的承担方式和计算方法：</w:t>
      </w:r>
    </w:p>
    <w:p w14:paraId="2887E61B">
      <w:pPr>
        <w:spacing w:line="480" w:lineRule="exact"/>
        <w:ind w:firstLine="420" w:firstLineChars="200"/>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（1）因发包人原因未能在计划开工日期前7天内下达开工通知的违约责任：</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 xml:space="preserve"> 。</w:t>
      </w:r>
    </w:p>
    <w:p w14:paraId="218FB914">
      <w:pPr>
        <w:spacing w:line="480" w:lineRule="exact"/>
        <w:ind w:firstLine="420" w:firstLineChars="200"/>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（2）因发包人原因未能按合同约定支付合同价款的违约责任：</w:t>
      </w:r>
      <w:r>
        <w:rPr>
          <w:rFonts w:hint="eastAsia" w:ascii="宋体" w:hAnsi="宋体" w:cs="宋体"/>
          <w:color w:val="000000" w:themeColor="text1"/>
          <w:kern w:val="21"/>
          <w:szCs w:val="21"/>
          <w:highlight w:val="none"/>
          <w:u w:val="single"/>
          <w14:textFill>
            <w14:solidFill>
              <w14:schemeClr w14:val="tx1"/>
            </w14:solidFill>
          </w14:textFill>
        </w:rPr>
        <w:t>双方另行确定 。</w:t>
      </w:r>
    </w:p>
    <w:p w14:paraId="53D063A9">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（3）发包人违反第10.1款〔变更的范围〕第（2）项约定，自行实施被取消的工作或转由他人实施的违约责任：</w:t>
      </w:r>
      <w:r>
        <w:rPr>
          <w:rFonts w:hint="eastAsia" w:ascii="宋体" w:hAnsi="宋体" w:cs="宋体"/>
          <w:color w:val="000000" w:themeColor="text1"/>
          <w:kern w:val="21"/>
          <w:szCs w:val="21"/>
          <w:highlight w:val="none"/>
          <w:u w:val="single"/>
          <w14:textFill>
            <w14:solidFill>
              <w14:schemeClr w14:val="tx1"/>
            </w14:solidFill>
          </w14:textFill>
        </w:rPr>
        <w:t>双方另行确定</w:t>
      </w:r>
      <w:r>
        <w:rPr>
          <w:rFonts w:hint="eastAsia" w:ascii="宋体" w:hAnsi="宋体" w:cs="宋体"/>
          <w:color w:val="000000" w:themeColor="text1"/>
          <w:kern w:val="21"/>
          <w:szCs w:val="21"/>
          <w:highlight w:val="none"/>
          <w14:textFill>
            <w14:solidFill>
              <w14:schemeClr w14:val="tx1"/>
            </w14:solidFill>
          </w14:textFill>
        </w:rPr>
        <w:t>。</w:t>
      </w:r>
    </w:p>
    <w:p w14:paraId="20C3CD4D">
      <w:pPr>
        <w:spacing w:line="480" w:lineRule="exact"/>
        <w:ind w:firstLine="420" w:firstLineChars="200"/>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（4）发包人提供的材料、工程设备的规格、数量或质量不符合合同约定，或因发包人原因导致交货日期延误或交货地点变更等情况的违约责任：</w:t>
      </w:r>
      <w:r>
        <w:rPr>
          <w:rFonts w:hint="eastAsia" w:ascii="宋体" w:hAnsi="宋体" w:cs="宋体"/>
          <w:color w:val="000000" w:themeColor="text1"/>
          <w:kern w:val="21"/>
          <w:szCs w:val="21"/>
          <w:highlight w:val="none"/>
          <w:u w:val="single"/>
          <w14:textFill>
            <w14:solidFill>
              <w14:schemeClr w14:val="tx1"/>
            </w14:solidFill>
          </w14:textFill>
        </w:rPr>
        <w:t>双方另行确定 。</w:t>
      </w:r>
    </w:p>
    <w:p w14:paraId="2ED671EF">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（5）因发包人违反合同约定造成暂停施工的违约责任：</w:t>
      </w:r>
      <w:r>
        <w:rPr>
          <w:rFonts w:hint="eastAsia" w:ascii="宋体" w:hAnsi="宋体" w:cs="宋体"/>
          <w:color w:val="000000" w:themeColor="text1"/>
          <w:kern w:val="21"/>
          <w:szCs w:val="21"/>
          <w:highlight w:val="none"/>
          <w:u w:val="single"/>
          <w14:textFill>
            <w14:solidFill>
              <w14:schemeClr w14:val="tx1"/>
            </w14:solidFill>
          </w14:textFill>
        </w:rPr>
        <w:t xml:space="preserve">双方另行确定 </w:t>
      </w:r>
      <w:r>
        <w:rPr>
          <w:rFonts w:hint="eastAsia" w:ascii="宋体" w:hAnsi="宋体" w:cs="宋体"/>
          <w:color w:val="000000" w:themeColor="text1"/>
          <w:kern w:val="21"/>
          <w:szCs w:val="21"/>
          <w:highlight w:val="none"/>
          <w14:textFill>
            <w14:solidFill>
              <w14:schemeClr w14:val="tx1"/>
            </w14:solidFill>
          </w14:textFill>
        </w:rPr>
        <w:t>。</w:t>
      </w:r>
    </w:p>
    <w:p w14:paraId="451A7887">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（6）发包人无正当理由没有在约定期限内发出复工指示，导致承包人无法复工的违约责任：</w:t>
      </w:r>
      <w:r>
        <w:rPr>
          <w:rFonts w:hint="eastAsia" w:ascii="宋体" w:hAnsi="宋体" w:cs="宋体"/>
          <w:color w:val="000000" w:themeColor="text1"/>
          <w:kern w:val="21"/>
          <w:szCs w:val="21"/>
          <w:highlight w:val="none"/>
          <w:u w:val="single"/>
          <w14:textFill>
            <w14:solidFill>
              <w14:schemeClr w14:val="tx1"/>
            </w14:solidFill>
          </w14:textFill>
        </w:rPr>
        <w:t xml:space="preserve"> 双方另行确定  </w:t>
      </w:r>
      <w:r>
        <w:rPr>
          <w:rFonts w:hint="eastAsia" w:ascii="宋体" w:hAnsi="宋体" w:cs="宋体"/>
          <w:color w:val="000000" w:themeColor="text1"/>
          <w:kern w:val="21"/>
          <w:szCs w:val="21"/>
          <w:highlight w:val="none"/>
          <w14:textFill>
            <w14:solidFill>
              <w14:schemeClr w14:val="tx1"/>
            </w14:solidFill>
          </w14:textFill>
        </w:rPr>
        <w:t>。</w:t>
      </w:r>
    </w:p>
    <w:p w14:paraId="297BE140">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（7）其他：</w:t>
      </w:r>
      <w:r>
        <w:rPr>
          <w:rFonts w:hint="eastAsia" w:ascii="宋体" w:hAnsi="宋体" w:cs="宋体"/>
          <w:color w:val="000000" w:themeColor="text1"/>
          <w:kern w:val="21"/>
          <w:szCs w:val="21"/>
          <w:highlight w:val="none"/>
          <w:u w:val="single"/>
          <w14:textFill>
            <w14:solidFill>
              <w14:schemeClr w14:val="tx1"/>
            </w14:solidFill>
          </w14:textFill>
        </w:rPr>
        <w:t xml:space="preserve">双方另行确定 </w:t>
      </w:r>
      <w:r>
        <w:rPr>
          <w:rFonts w:hint="eastAsia" w:ascii="宋体" w:hAnsi="宋体" w:cs="宋体"/>
          <w:color w:val="000000" w:themeColor="text1"/>
          <w:kern w:val="21"/>
          <w:szCs w:val="21"/>
          <w:highlight w:val="none"/>
          <w14:textFill>
            <w14:solidFill>
              <w14:schemeClr w14:val="tx1"/>
            </w14:solidFill>
          </w14:textFill>
        </w:rPr>
        <w:t>。</w:t>
      </w:r>
    </w:p>
    <w:p w14:paraId="59CD062B">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16.1.3 因发包人违约解除合同</w:t>
      </w:r>
    </w:p>
    <w:p w14:paraId="3BF19F1B">
      <w:pPr>
        <w:autoSpaceDE w:val="0"/>
        <w:autoSpaceDN w:val="0"/>
        <w:adjustRightInd w:val="0"/>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承包人按16.1.1项〔发包人违约的情形〕约定暂停施工满</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天后发包人仍不纠正其违约行为并致使合同目的不能实现的，承包人有权解除合同。</w:t>
      </w:r>
    </w:p>
    <w:p w14:paraId="35DA362E">
      <w:pPr>
        <w:spacing w:after="120" w:line="480" w:lineRule="exact"/>
        <w:ind w:firstLine="420" w:firstLineChars="200"/>
        <w:outlineLvl w:val="0"/>
        <w:rPr>
          <w:rFonts w:ascii="宋体" w:hAnsi="宋体" w:cs="宋体"/>
          <w:color w:val="000000" w:themeColor="text1"/>
          <w:kern w:val="21"/>
          <w:szCs w:val="21"/>
          <w:highlight w:val="none"/>
          <w14:textFill>
            <w14:solidFill>
              <w14:schemeClr w14:val="tx1"/>
            </w14:solidFill>
          </w14:textFill>
        </w:rPr>
      </w:pPr>
      <w:bookmarkStart w:id="576" w:name="_Toc28495"/>
      <w:r>
        <w:rPr>
          <w:rFonts w:hint="eastAsia" w:ascii="宋体" w:hAnsi="宋体" w:cs="宋体"/>
          <w:color w:val="000000" w:themeColor="text1"/>
          <w:kern w:val="21"/>
          <w:szCs w:val="21"/>
          <w:highlight w:val="none"/>
          <w14:textFill>
            <w14:solidFill>
              <w14:schemeClr w14:val="tx1"/>
            </w14:solidFill>
          </w14:textFill>
        </w:rPr>
        <w:t>16.2 承包人违约</w:t>
      </w:r>
      <w:bookmarkEnd w:id="576"/>
    </w:p>
    <w:p w14:paraId="0A246DEA">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16.2.1 承包人违约的情形</w:t>
      </w:r>
    </w:p>
    <w:p w14:paraId="2C170C92">
      <w:pPr>
        <w:spacing w:line="480" w:lineRule="exact"/>
        <w:ind w:firstLine="420" w:firstLineChars="200"/>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承包人违约的其他情形：</w:t>
      </w:r>
      <w:r>
        <w:rPr>
          <w:rFonts w:hint="eastAsia" w:ascii="宋体" w:hAnsi="宋体" w:cs="宋体"/>
          <w:color w:val="000000" w:themeColor="text1"/>
          <w:kern w:val="21"/>
          <w:szCs w:val="21"/>
          <w:highlight w:val="none"/>
          <w:u w:val="single"/>
          <w14:textFill>
            <w14:solidFill>
              <w14:schemeClr w14:val="tx1"/>
            </w14:solidFill>
          </w14:textFill>
        </w:rPr>
        <w:t xml:space="preserve"> 双方另行确定。</w:t>
      </w:r>
    </w:p>
    <w:p w14:paraId="0FCAFE52">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16.2.2承包人违约的责任</w:t>
      </w:r>
    </w:p>
    <w:p w14:paraId="355AB845">
      <w:pPr>
        <w:spacing w:line="480" w:lineRule="exact"/>
        <w:ind w:firstLine="420" w:firstLineChars="200"/>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承包人违约责任的承担方式和计算方法：</w:t>
      </w:r>
      <w:r>
        <w:rPr>
          <w:rFonts w:hint="eastAsia" w:ascii="宋体" w:hAnsi="宋体" w:cs="宋体"/>
          <w:color w:val="000000" w:themeColor="text1"/>
          <w:kern w:val="21"/>
          <w:szCs w:val="21"/>
          <w:highlight w:val="none"/>
          <w:u w:val="single"/>
          <w14:textFill>
            <w14:solidFill>
              <w14:schemeClr w14:val="tx1"/>
            </w14:solidFill>
          </w14:textFill>
        </w:rPr>
        <w:t xml:space="preserve"> 承包人应承担因其违约行为而增加的费用和（或）延误的工期，给发包人造成损失的，由承包人弥补损失并承担责任。</w:t>
      </w:r>
    </w:p>
    <w:p w14:paraId="2936F1FA">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16.2.3 因承包人违约解除合同</w:t>
      </w:r>
    </w:p>
    <w:p w14:paraId="33EFAF6C">
      <w:pPr>
        <w:spacing w:before="120" w:after="120" w:line="48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关于承包人违约解除合同的特别约定：</w:t>
      </w:r>
      <w:r>
        <w:rPr>
          <w:rFonts w:hint="eastAsia" w:ascii="宋体" w:hAnsi="宋体" w:cs="宋体"/>
          <w:color w:val="000000" w:themeColor="text1"/>
          <w:kern w:val="21"/>
          <w:szCs w:val="21"/>
          <w:highlight w:val="none"/>
          <w:u w:val="single"/>
          <w14:textFill>
            <w14:solidFill>
              <w14:schemeClr w14:val="tx1"/>
            </w14:solidFill>
          </w14:textFill>
        </w:rPr>
        <w:t xml:space="preserve"> 双方另行确定</w:t>
      </w:r>
      <w:r>
        <w:rPr>
          <w:rFonts w:hint="eastAsia" w:ascii="宋体" w:hAnsi="宋体" w:cs="宋体"/>
          <w:color w:val="000000" w:themeColor="text1"/>
          <w:kern w:val="21"/>
          <w:szCs w:val="21"/>
          <w:highlight w:val="none"/>
          <w14:textFill>
            <w14:solidFill>
              <w14:schemeClr w14:val="tx1"/>
            </w14:solidFill>
          </w14:textFill>
        </w:rPr>
        <w:t>。</w:t>
      </w:r>
    </w:p>
    <w:p w14:paraId="458BB4D6">
      <w:pPr>
        <w:spacing w:before="120"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发包人继续使用承包人在施工现场的材料、设备、临时工程、承包人文件和由承包人或以其名义编制的其他文件的费用承担方式：</w:t>
      </w:r>
      <w:r>
        <w:rPr>
          <w:rFonts w:hint="eastAsia" w:ascii="宋体" w:hAnsi="宋体" w:cs="宋体"/>
          <w:color w:val="000000" w:themeColor="text1"/>
          <w:kern w:val="21"/>
          <w:szCs w:val="21"/>
          <w:highlight w:val="none"/>
          <w:u w:val="single"/>
          <w14:textFill>
            <w14:solidFill>
              <w14:schemeClr w14:val="tx1"/>
            </w14:solidFill>
          </w14:textFill>
        </w:rPr>
        <w:t>双方另行确定</w:t>
      </w:r>
      <w:r>
        <w:rPr>
          <w:rFonts w:hint="eastAsia" w:ascii="宋体" w:hAnsi="宋体" w:cs="宋体"/>
          <w:color w:val="000000" w:themeColor="text1"/>
          <w:kern w:val="21"/>
          <w:szCs w:val="21"/>
          <w:highlight w:val="none"/>
          <w14:textFill>
            <w14:solidFill>
              <w14:schemeClr w14:val="tx1"/>
            </w14:solidFill>
          </w14:textFill>
        </w:rPr>
        <w:t>。</w:t>
      </w:r>
    </w:p>
    <w:p w14:paraId="2BDE119D">
      <w:pPr>
        <w:pStyle w:val="4"/>
        <w:tabs>
          <w:tab w:val="left" w:pos="864"/>
        </w:tabs>
        <w:spacing w:before="120" w:after="120" w:line="480" w:lineRule="exact"/>
        <w:textAlignment w:val="auto"/>
        <w:rPr>
          <w:rFonts w:ascii="宋体" w:hAnsi="宋体" w:cs="宋体"/>
          <w:b w:val="0"/>
          <w:color w:val="000000" w:themeColor="text1"/>
          <w:kern w:val="21"/>
          <w:sz w:val="21"/>
          <w:szCs w:val="21"/>
          <w:highlight w:val="none"/>
          <w14:textFill>
            <w14:solidFill>
              <w14:schemeClr w14:val="tx1"/>
            </w14:solidFill>
          </w14:textFill>
        </w:rPr>
      </w:pPr>
      <w:bookmarkStart w:id="577" w:name="_Toc351203649"/>
      <w:r>
        <w:rPr>
          <w:rFonts w:hint="eastAsia" w:ascii="宋体" w:hAnsi="宋体" w:cs="宋体"/>
          <w:b w:val="0"/>
          <w:color w:val="000000" w:themeColor="text1"/>
          <w:kern w:val="21"/>
          <w:sz w:val="21"/>
          <w:szCs w:val="21"/>
          <w:highlight w:val="none"/>
          <w14:textFill>
            <w14:solidFill>
              <w14:schemeClr w14:val="tx1"/>
            </w14:solidFill>
          </w14:textFill>
        </w:rPr>
        <w:t>17. 不可抗力</w:t>
      </w:r>
      <w:bookmarkEnd w:id="577"/>
      <w:r>
        <w:rPr>
          <w:rFonts w:hint="eastAsia" w:ascii="宋体" w:hAnsi="宋体" w:cs="宋体"/>
          <w:b w:val="0"/>
          <w:color w:val="000000" w:themeColor="text1"/>
          <w:kern w:val="21"/>
          <w:sz w:val="21"/>
          <w:szCs w:val="21"/>
          <w:highlight w:val="none"/>
          <w14:textFill>
            <w14:solidFill>
              <w14:schemeClr w14:val="tx1"/>
            </w14:solidFill>
          </w14:textFill>
        </w:rPr>
        <w:t xml:space="preserve"> </w:t>
      </w:r>
      <w:bookmarkEnd w:id="573"/>
    </w:p>
    <w:p w14:paraId="0F727110">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17.1 不可抗力的确认</w:t>
      </w:r>
    </w:p>
    <w:p w14:paraId="69F8E209">
      <w:pPr>
        <w:spacing w:line="480" w:lineRule="exact"/>
        <w:ind w:firstLine="420" w:firstLineChars="200"/>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 xml:space="preserve">除通用合同条款约定的不可抗力事件之外，视为不可抗力的其他情形： </w:t>
      </w:r>
      <w:r>
        <w:rPr>
          <w:rFonts w:hint="eastAsia" w:ascii="宋体" w:hAnsi="宋体" w:cs="宋体"/>
          <w:color w:val="000000" w:themeColor="text1"/>
          <w:kern w:val="21"/>
          <w:szCs w:val="21"/>
          <w:highlight w:val="none"/>
          <w:u w:val="single"/>
          <w14:textFill>
            <w14:solidFill>
              <w14:schemeClr w14:val="tx1"/>
            </w14:solidFill>
          </w14:textFill>
        </w:rPr>
        <w:t xml:space="preserve"> 无   </w:t>
      </w:r>
      <w:r>
        <w:rPr>
          <w:rFonts w:hint="eastAsia" w:ascii="宋体" w:hAnsi="宋体" w:cs="宋体"/>
          <w:color w:val="000000" w:themeColor="text1"/>
          <w:kern w:val="21"/>
          <w:szCs w:val="21"/>
          <w:highlight w:val="none"/>
          <w14:textFill>
            <w14:solidFill>
              <w14:schemeClr w14:val="tx1"/>
            </w14:solidFill>
          </w14:textFill>
        </w:rPr>
        <w:t>。</w:t>
      </w:r>
    </w:p>
    <w:p w14:paraId="669779A7">
      <w:pPr>
        <w:spacing w:after="120" w:line="480" w:lineRule="exact"/>
        <w:ind w:firstLine="420" w:firstLineChars="200"/>
        <w:outlineLvl w:val="0"/>
        <w:rPr>
          <w:rFonts w:ascii="宋体" w:hAnsi="宋体" w:cs="宋体"/>
          <w:color w:val="000000" w:themeColor="text1"/>
          <w:kern w:val="21"/>
          <w:szCs w:val="21"/>
          <w:highlight w:val="none"/>
          <w14:textFill>
            <w14:solidFill>
              <w14:schemeClr w14:val="tx1"/>
            </w14:solidFill>
          </w14:textFill>
        </w:rPr>
      </w:pPr>
      <w:bookmarkStart w:id="578" w:name="_Toc10255"/>
      <w:r>
        <w:rPr>
          <w:rFonts w:hint="eastAsia" w:ascii="宋体" w:hAnsi="宋体" w:cs="宋体"/>
          <w:color w:val="000000" w:themeColor="text1"/>
          <w:kern w:val="21"/>
          <w:szCs w:val="21"/>
          <w:highlight w:val="none"/>
          <w14:textFill>
            <w14:solidFill>
              <w14:schemeClr w14:val="tx1"/>
            </w14:solidFill>
          </w14:textFill>
        </w:rPr>
        <w:t>17.4 因不可抗力解除合同</w:t>
      </w:r>
      <w:bookmarkEnd w:id="578"/>
    </w:p>
    <w:p w14:paraId="031798A3">
      <w:pPr>
        <w:spacing w:line="480" w:lineRule="exact"/>
        <w:ind w:firstLine="480"/>
        <w:jc w:val="left"/>
        <w:rPr>
          <w:rFonts w:ascii="宋体" w:hAnsi="宋体" w:cs="宋体"/>
          <w:color w:val="000000" w:themeColor="text1"/>
          <w:kern w:val="21"/>
          <w:szCs w:val="21"/>
          <w:highlight w:val="none"/>
          <w14:textFill>
            <w14:solidFill>
              <w14:schemeClr w14:val="tx1"/>
            </w14:solidFill>
          </w14:textFill>
        </w:rPr>
      </w:pPr>
      <w:bookmarkStart w:id="579" w:name="_Toc351203650"/>
      <w:r>
        <w:rPr>
          <w:rFonts w:hint="eastAsia" w:ascii="宋体" w:hAnsi="宋体" w:cs="宋体"/>
          <w:color w:val="000000" w:themeColor="text1"/>
          <w:kern w:val="21"/>
          <w:szCs w:val="21"/>
          <w:highlight w:val="none"/>
          <w14:textFill>
            <w14:solidFill>
              <w14:schemeClr w14:val="tx1"/>
            </w14:solidFill>
          </w14:textFill>
        </w:rPr>
        <w:t>合同解除后，双方各自承担自己的损失。</w:t>
      </w:r>
    </w:p>
    <w:p w14:paraId="7BD02886">
      <w:pPr>
        <w:pStyle w:val="4"/>
        <w:tabs>
          <w:tab w:val="left" w:pos="864"/>
        </w:tabs>
        <w:spacing w:before="120" w:after="120" w:line="480" w:lineRule="exact"/>
        <w:textAlignment w:val="auto"/>
        <w:rPr>
          <w:rFonts w:ascii="宋体" w:hAnsi="宋体" w:cs="宋体"/>
          <w:b w:val="0"/>
          <w:color w:val="000000" w:themeColor="text1"/>
          <w:kern w:val="21"/>
          <w:sz w:val="21"/>
          <w:szCs w:val="21"/>
          <w:highlight w:val="none"/>
          <w14:textFill>
            <w14:solidFill>
              <w14:schemeClr w14:val="tx1"/>
            </w14:solidFill>
          </w14:textFill>
        </w:rPr>
      </w:pPr>
      <w:r>
        <w:rPr>
          <w:rFonts w:hint="eastAsia" w:ascii="宋体" w:hAnsi="宋体" w:cs="宋体"/>
          <w:b w:val="0"/>
          <w:color w:val="000000" w:themeColor="text1"/>
          <w:kern w:val="21"/>
          <w:sz w:val="21"/>
          <w:szCs w:val="21"/>
          <w:highlight w:val="none"/>
          <w14:textFill>
            <w14:solidFill>
              <w14:schemeClr w14:val="tx1"/>
            </w14:solidFill>
          </w14:textFill>
        </w:rPr>
        <w:t>18. 保险</w:t>
      </w:r>
      <w:bookmarkEnd w:id="579"/>
    </w:p>
    <w:bookmarkEnd w:id="574"/>
    <w:p w14:paraId="57ACD843">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18.1 工程保险</w:t>
      </w:r>
    </w:p>
    <w:p w14:paraId="334EB69C">
      <w:pPr>
        <w:spacing w:line="480" w:lineRule="exact"/>
        <w:ind w:firstLine="420" w:firstLineChars="200"/>
        <w:jc w:val="left"/>
        <w:rPr>
          <w:rFonts w:hint="default" w:ascii="宋体" w:hAnsi="宋体" w:eastAsia="宋体" w:cs="宋体"/>
          <w:color w:val="000000" w:themeColor="text1"/>
          <w:kern w:val="21"/>
          <w:szCs w:val="21"/>
          <w:highlight w:val="none"/>
          <w:lang w:val="en-US" w:eastAsia="zh-CN"/>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关于工程保险的特别约定：</w:t>
      </w:r>
      <w:r>
        <w:rPr>
          <w:rFonts w:hint="eastAsia" w:ascii="宋体" w:hAnsi="宋体" w:cs="宋体"/>
          <w:color w:val="000000" w:themeColor="text1"/>
          <w:kern w:val="21"/>
          <w:szCs w:val="21"/>
          <w:highlight w:val="none"/>
          <w:u w:val="single"/>
          <w:lang w:val="en-US" w:eastAsia="zh-CN"/>
          <w14:textFill>
            <w14:solidFill>
              <w14:schemeClr w14:val="tx1"/>
            </w14:solidFill>
          </w14:textFill>
        </w:rPr>
        <w:t xml:space="preserve">           </w:t>
      </w:r>
    </w:p>
    <w:p w14:paraId="61E2E515">
      <w:pPr>
        <w:spacing w:after="120" w:line="480" w:lineRule="exact"/>
        <w:ind w:firstLine="420" w:firstLineChars="200"/>
        <w:outlineLvl w:val="0"/>
        <w:rPr>
          <w:rFonts w:ascii="宋体" w:hAnsi="宋体" w:cs="宋体"/>
          <w:color w:val="000000" w:themeColor="text1"/>
          <w:kern w:val="21"/>
          <w:szCs w:val="21"/>
          <w:highlight w:val="none"/>
          <w14:textFill>
            <w14:solidFill>
              <w14:schemeClr w14:val="tx1"/>
            </w14:solidFill>
          </w14:textFill>
        </w:rPr>
      </w:pPr>
      <w:bookmarkStart w:id="580" w:name="_Toc10129"/>
      <w:r>
        <w:rPr>
          <w:rFonts w:hint="eastAsia" w:ascii="宋体" w:hAnsi="宋体" w:cs="宋体"/>
          <w:color w:val="000000" w:themeColor="text1"/>
          <w:kern w:val="21"/>
          <w:szCs w:val="21"/>
          <w:highlight w:val="none"/>
          <w14:textFill>
            <w14:solidFill>
              <w14:schemeClr w14:val="tx1"/>
            </w14:solidFill>
          </w14:textFill>
        </w:rPr>
        <w:t>18.3 其他保险</w:t>
      </w:r>
      <w:bookmarkEnd w:id="580"/>
    </w:p>
    <w:p w14:paraId="38F635EF">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关于其他保险的约定：</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p w14:paraId="3821E62C">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承包人是否应为其施工设备等办理财产保险：</w:t>
      </w:r>
      <w:r>
        <w:rPr>
          <w:rFonts w:hint="eastAsia" w:ascii="宋体" w:hAnsi="宋体" w:cs="宋体"/>
          <w:color w:val="000000" w:themeColor="text1"/>
          <w:kern w:val="21"/>
          <w:szCs w:val="21"/>
          <w:highlight w:val="none"/>
          <w:u w:val="single"/>
          <w14:textFill>
            <w14:solidFill>
              <w14:schemeClr w14:val="tx1"/>
            </w14:solidFill>
          </w14:textFill>
        </w:rPr>
        <w:t xml:space="preserve">执行通用条款 </w:t>
      </w:r>
      <w:r>
        <w:rPr>
          <w:rFonts w:hint="eastAsia" w:ascii="宋体" w:hAnsi="宋体" w:cs="宋体"/>
          <w:color w:val="000000" w:themeColor="text1"/>
          <w:kern w:val="21"/>
          <w:szCs w:val="21"/>
          <w:highlight w:val="none"/>
          <w14:textFill>
            <w14:solidFill>
              <w14:schemeClr w14:val="tx1"/>
            </w14:solidFill>
          </w14:textFill>
        </w:rPr>
        <w:t>。</w:t>
      </w:r>
    </w:p>
    <w:p w14:paraId="23BBB58A">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18.7 通知义务</w:t>
      </w:r>
    </w:p>
    <w:p w14:paraId="3DBA6C93">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关于变更保险合同时的通知义务的约定：</w:t>
      </w:r>
      <w:r>
        <w:rPr>
          <w:rFonts w:hint="eastAsia" w:ascii="宋体" w:hAnsi="宋体" w:cs="宋体"/>
          <w:color w:val="000000" w:themeColor="text1"/>
          <w:kern w:val="21"/>
          <w:szCs w:val="21"/>
          <w:highlight w:val="none"/>
          <w:u w:val="single"/>
          <w14:textFill>
            <w14:solidFill>
              <w14:schemeClr w14:val="tx1"/>
            </w14:solidFill>
          </w14:textFill>
        </w:rPr>
        <w:t xml:space="preserve"> 执行通用条款   </w:t>
      </w:r>
      <w:r>
        <w:rPr>
          <w:rFonts w:hint="eastAsia" w:ascii="宋体" w:hAnsi="宋体" w:cs="宋体"/>
          <w:color w:val="000000" w:themeColor="text1"/>
          <w:kern w:val="21"/>
          <w:szCs w:val="21"/>
          <w:highlight w:val="none"/>
          <w14:textFill>
            <w14:solidFill>
              <w14:schemeClr w14:val="tx1"/>
            </w14:solidFill>
          </w14:textFill>
        </w:rPr>
        <w:t>。</w:t>
      </w:r>
    </w:p>
    <w:bookmarkEnd w:id="546"/>
    <w:bookmarkEnd w:id="547"/>
    <w:bookmarkEnd w:id="548"/>
    <w:bookmarkEnd w:id="549"/>
    <w:bookmarkEnd w:id="550"/>
    <w:bookmarkEnd w:id="551"/>
    <w:bookmarkEnd w:id="552"/>
    <w:bookmarkEnd w:id="553"/>
    <w:bookmarkEnd w:id="554"/>
    <w:bookmarkEnd w:id="555"/>
    <w:bookmarkEnd w:id="556"/>
    <w:bookmarkEnd w:id="557"/>
    <w:p w14:paraId="5E2C2982">
      <w:pPr>
        <w:pStyle w:val="4"/>
        <w:tabs>
          <w:tab w:val="left" w:pos="864"/>
        </w:tabs>
        <w:spacing w:before="120" w:after="120" w:line="480" w:lineRule="exact"/>
        <w:textAlignment w:val="auto"/>
        <w:rPr>
          <w:rFonts w:ascii="宋体" w:hAnsi="宋体" w:cs="宋体"/>
          <w:b w:val="0"/>
          <w:color w:val="000000" w:themeColor="text1"/>
          <w:kern w:val="21"/>
          <w:sz w:val="21"/>
          <w:szCs w:val="21"/>
          <w:highlight w:val="none"/>
          <w14:textFill>
            <w14:solidFill>
              <w14:schemeClr w14:val="tx1"/>
            </w14:solidFill>
          </w14:textFill>
        </w:rPr>
      </w:pPr>
      <w:bookmarkStart w:id="581" w:name="_Toc351203651"/>
      <w:r>
        <w:rPr>
          <w:rFonts w:hint="eastAsia" w:ascii="宋体" w:hAnsi="宋体" w:cs="宋体"/>
          <w:b w:val="0"/>
          <w:color w:val="000000" w:themeColor="text1"/>
          <w:kern w:val="21"/>
          <w:sz w:val="21"/>
          <w:szCs w:val="21"/>
          <w:highlight w:val="none"/>
          <w14:textFill>
            <w14:solidFill>
              <w14:schemeClr w14:val="tx1"/>
            </w14:solidFill>
          </w14:textFill>
        </w:rPr>
        <w:t>20. 争议解决</w:t>
      </w:r>
      <w:bookmarkEnd w:id="581"/>
    </w:p>
    <w:bookmarkEnd w:id="558"/>
    <w:bookmarkEnd w:id="559"/>
    <w:p w14:paraId="6F3203BD">
      <w:pPr>
        <w:spacing w:after="120" w:line="480" w:lineRule="exact"/>
        <w:ind w:firstLine="420" w:firstLineChars="200"/>
        <w:outlineLvl w:val="0"/>
        <w:rPr>
          <w:rFonts w:ascii="宋体" w:hAnsi="宋体" w:cs="宋体"/>
          <w:color w:val="000000" w:themeColor="text1"/>
          <w:kern w:val="21"/>
          <w:szCs w:val="21"/>
          <w:highlight w:val="none"/>
          <w14:textFill>
            <w14:solidFill>
              <w14:schemeClr w14:val="tx1"/>
            </w14:solidFill>
          </w14:textFill>
        </w:rPr>
      </w:pPr>
      <w:bookmarkStart w:id="582" w:name="_Toc19257"/>
      <w:r>
        <w:rPr>
          <w:rFonts w:hint="eastAsia" w:ascii="宋体" w:hAnsi="宋体" w:cs="宋体"/>
          <w:color w:val="000000" w:themeColor="text1"/>
          <w:kern w:val="21"/>
          <w:szCs w:val="21"/>
          <w:highlight w:val="none"/>
          <w14:textFill>
            <w14:solidFill>
              <w14:schemeClr w14:val="tx1"/>
            </w14:solidFill>
          </w14:textFill>
        </w:rPr>
        <w:t>20.3 争</w:t>
      </w:r>
      <w:bookmarkEnd w:id="560"/>
      <w:r>
        <w:rPr>
          <w:rFonts w:hint="eastAsia" w:ascii="宋体" w:hAnsi="宋体" w:cs="宋体"/>
          <w:color w:val="000000" w:themeColor="text1"/>
          <w:kern w:val="21"/>
          <w:szCs w:val="21"/>
          <w:highlight w:val="none"/>
          <w14:textFill>
            <w14:solidFill>
              <w14:schemeClr w14:val="tx1"/>
            </w14:solidFill>
          </w14:textFill>
        </w:rPr>
        <w:t>议评审</w:t>
      </w:r>
      <w:bookmarkEnd w:id="582"/>
    </w:p>
    <w:p w14:paraId="1C72909D">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合同当事人是否同意将工程争议提交争议评审小组决定：</w:t>
      </w:r>
      <w:r>
        <w:rPr>
          <w:rFonts w:hint="eastAsia" w:ascii="宋体" w:hAnsi="宋体" w:cs="宋体"/>
          <w:color w:val="000000" w:themeColor="text1"/>
          <w:kern w:val="21"/>
          <w:szCs w:val="21"/>
          <w:highlight w:val="none"/>
          <w:u w:val="single"/>
          <w14:textFill>
            <w14:solidFill>
              <w14:schemeClr w14:val="tx1"/>
            </w14:solidFill>
          </w14:textFill>
        </w:rPr>
        <w:t xml:space="preserve"> 不同意  </w:t>
      </w:r>
      <w:r>
        <w:rPr>
          <w:rFonts w:hint="eastAsia" w:ascii="宋体" w:hAnsi="宋体" w:cs="宋体"/>
          <w:color w:val="000000" w:themeColor="text1"/>
          <w:kern w:val="21"/>
          <w:szCs w:val="21"/>
          <w:highlight w:val="none"/>
          <w14:textFill>
            <w14:solidFill>
              <w14:schemeClr w14:val="tx1"/>
            </w14:solidFill>
          </w14:textFill>
        </w:rPr>
        <w:t xml:space="preserve">。  </w:t>
      </w:r>
    </w:p>
    <w:p w14:paraId="5BA0900D">
      <w:pPr>
        <w:spacing w:line="480" w:lineRule="exact"/>
        <w:ind w:firstLine="420" w:firstLineChars="200"/>
        <w:jc w:val="left"/>
        <w:outlineLvl w:val="0"/>
        <w:rPr>
          <w:rFonts w:ascii="宋体" w:hAnsi="宋体" w:cs="宋体"/>
          <w:color w:val="000000" w:themeColor="text1"/>
          <w:kern w:val="21"/>
          <w:szCs w:val="21"/>
          <w:highlight w:val="none"/>
          <w14:textFill>
            <w14:solidFill>
              <w14:schemeClr w14:val="tx1"/>
            </w14:solidFill>
          </w14:textFill>
        </w:rPr>
      </w:pPr>
      <w:bookmarkStart w:id="583" w:name="_Toc23402"/>
      <w:r>
        <w:rPr>
          <w:rFonts w:hint="eastAsia" w:ascii="宋体" w:hAnsi="宋体" w:cs="宋体"/>
          <w:color w:val="000000" w:themeColor="text1"/>
          <w:kern w:val="21"/>
          <w:szCs w:val="21"/>
          <w:highlight w:val="none"/>
          <w14:textFill>
            <w14:solidFill>
              <w14:schemeClr w14:val="tx1"/>
            </w14:solidFill>
          </w14:textFill>
        </w:rPr>
        <w:t>20.3.1 争议评审小组的确定</w:t>
      </w:r>
      <w:bookmarkEnd w:id="583"/>
    </w:p>
    <w:p w14:paraId="0466168A">
      <w:pPr>
        <w:spacing w:line="480" w:lineRule="exact"/>
        <w:ind w:firstLine="420" w:firstLineChars="200"/>
        <w:jc w:val="lef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争议评审小组成员的确定：</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p w14:paraId="775776E8">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选定争议评审员的期限：</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p w14:paraId="5E8C04CA">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争议评审小组成员的报酬承担方式：</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p w14:paraId="602766C8">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其他事项的约定：</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p w14:paraId="294CA06A">
      <w:pPr>
        <w:autoSpaceDE w:val="0"/>
        <w:autoSpaceDN w:val="0"/>
        <w:adjustRightInd w:val="0"/>
        <w:spacing w:line="480" w:lineRule="exact"/>
        <w:ind w:firstLine="420" w:firstLineChars="200"/>
        <w:jc w:val="left"/>
        <w:outlineLvl w:val="0"/>
        <w:rPr>
          <w:rFonts w:ascii="宋体" w:hAnsi="宋体" w:cs="宋体"/>
          <w:color w:val="000000" w:themeColor="text1"/>
          <w:kern w:val="21"/>
          <w:szCs w:val="21"/>
          <w:highlight w:val="none"/>
          <w14:textFill>
            <w14:solidFill>
              <w14:schemeClr w14:val="tx1"/>
            </w14:solidFill>
          </w14:textFill>
        </w:rPr>
      </w:pPr>
      <w:bookmarkStart w:id="584" w:name="_Toc21578"/>
      <w:r>
        <w:rPr>
          <w:rFonts w:hint="eastAsia" w:ascii="宋体" w:hAnsi="宋体" w:cs="宋体"/>
          <w:color w:val="000000" w:themeColor="text1"/>
          <w:kern w:val="21"/>
          <w:szCs w:val="21"/>
          <w:highlight w:val="none"/>
          <w14:textFill>
            <w14:solidFill>
              <w14:schemeClr w14:val="tx1"/>
            </w14:solidFill>
          </w14:textFill>
        </w:rPr>
        <w:t>20.3.2 争议评审小组的决定</w:t>
      </w:r>
      <w:bookmarkEnd w:id="584"/>
    </w:p>
    <w:p w14:paraId="3EC6EF3F">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合同当事人关于本项的约定：</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p w14:paraId="29DA22BD">
      <w:pPr>
        <w:spacing w:after="120" w:line="480" w:lineRule="exact"/>
        <w:ind w:firstLine="420" w:firstLineChars="200"/>
        <w:outlineLvl w:val="0"/>
        <w:rPr>
          <w:rFonts w:ascii="宋体" w:hAnsi="宋体" w:cs="宋体"/>
          <w:color w:val="000000" w:themeColor="text1"/>
          <w:kern w:val="21"/>
          <w:szCs w:val="21"/>
          <w:highlight w:val="none"/>
          <w14:textFill>
            <w14:solidFill>
              <w14:schemeClr w14:val="tx1"/>
            </w14:solidFill>
          </w14:textFill>
        </w:rPr>
      </w:pPr>
      <w:bookmarkStart w:id="585" w:name="_Toc23684"/>
      <w:r>
        <w:rPr>
          <w:rFonts w:hint="eastAsia" w:ascii="宋体" w:hAnsi="宋体" w:cs="宋体"/>
          <w:color w:val="000000" w:themeColor="text1"/>
          <w:kern w:val="21"/>
          <w:szCs w:val="21"/>
          <w:highlight w:val="none"/>
          <w14:textFill>
            <w14:solidFill>
              <w14:schemeClr w14:val="tx1"/>
            </w14:solidFill>
          </w14:textFill>
        </w:rPr>
        <w:t>20.4仲裁或诉讼</w:t>
      </w:r>
      <w:bookmarkEnd w:id="561"/>
      <w:bookmarkEnd w:id="585"/>
    </w:p>
    <w:p w14:paraId="295149E9">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因合同及合同有关事项发生的争议，按下列第</w:t>
      </w:r>
      <w:r>
        <w:rPr>
          <w:rFonts w:hint="eastAsia" w:ascii="宋体" w:hAnsi="宋体" w:cs="宋体"/>
          <w:color w:val="000000" w:themeColor="text1"/>
          <w:kern w:val="21"/>
          <w:szCs w:val="21"/>
          <w:highlight w:val="none"/>
          <w:u w:val="single"/>
          <w14:textFill>
            <w14:solidFill>
              <w14:schemeClr w14:val="tx1"/>
            </w14:solidFill>
          </w14:textFill>
        </w:rPr>
        <w:t>（2）</w:t>
      </w:r>
      <w:r>
        <w:rPr>
          <w:rFonts w:hint="eastAsia" w:ascii="宋体" w:hAnsi="宋体" w:cs="宋体"/>
          <w:color w:val="000000" w:themeColor="text1"/>
          <w:kern w:val="21"/>
          <w:szCs w:val="21"/>
          <w:highlight w:val="none"/>
          <w14:textFill>
            <w14:solidFill>
              <w14:schemeClr w14:val="tx1"/>
            </w14:solidFill>
          </w14:textFill>
        </w:rPr>
        <w:t>种方式解决：</w:t>
      </w:r>
    </w:p>
    <w:p w14:paraId="27C97D22">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（1）向</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仲裁委员会申请仲裁；</w:t>
      </w:r>
    </w:p>
    <w:p w14:paraId="6B9511C5">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（2）向</w:t>
      </w:r>
      <w:r>
        <w:rPr>
          <w:rFonts w:hint="eastAsia" w:ascii="宋体" w:hAnsi="宋体" w:cs="宋体"/>
          <w:color w:val="000000" w:themeColor="text1"/>
          <w:kern w:val="21"/>
          <w:szCs w:val="21"/>
          <w:highlight w:val="none"/>
          <w:u w:val="single"/>
          <w14:textFill>
            <w14:solidFill>
              <w14:schemeClr w14:val="tx1"/>
            </w14:solidFill>
          </w14:textFill>
        </w:rPr>
        <w:t xml:space="preserve">工程所在地 </w:t>
      </w:r>
      <w:r>
        <w:rPr>
          <w:rFonts w:hint="eastAsia" w:ascii="宋体" w:hAnsi="宋体" w:cs="宋体"/>
          <w:color w:val="000000" w:themeColor="text1"/>
          <w:kern w:val="21"/>
          <w:szCs w:val="21"/>
          <w:highlight w:val="none"/>
          <w14:textFill>
            <w14:solidFill>
              <w14:schemeClr w14:val="tx1"/>
            </w14:solidFill>
          </w14:textFill>
        </w:rPr>
        <w:t>人民法院起诉。</w:t>
      </w:r>
      <w:bookmarkEnd w:id="562"/>
      <w:bookmarkEnd w:id="563"/>
      <w:bookmarkEnd w:id="564"/>
      <w:bookmarkEnd w:id="565"/>
      <w:bookmarkEnd w:id="566"/>
      <w:bookmarkEnd w:id="567"/>
    </w:p>
    <w:p w14:paraId="2D4978EF">
      <w:pPr>
        <w:spacing w:line="480" w:lineRule="exact"/>
        <w:jc w:val="left"/>
        <w:rPr>
          <w:rFonts w:ascii="宋体" w:hAnsi="宋体" w:cs="宋体"/>
          <w:b/>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br w:type="page"/>
      </w:r>
      <w:bookmarkStart w:id="586" w:name="_Toc351203652"/>
      <w:r>
        <w:rPr>
          <w:rFonts w:hint="eastAsia" w:ascii="宋体" w:hAnsi="宋体" w:cs="宋体"/>
          <w:b/>
          <w:color w:val="000000" w:themeColor="text1"/>
          <w:kern w:val="21"/>
          <w:szCs w:val="21"/>
          <w:highlight w:val="none"/>
          <w14:textFill>
            <w14:solidFill>
              <w14:schemeClr w14:val="tx1"/>
            </w14:solidFill>
          </w14:textFill>
        </w:rPr>
        <w:t>附件</w:t>
      </w:r>
      <w:bookmarkEnd w:id="586"/>
    </w:p>
    <w:p w14:paraId="46E54546">
      <w:pPr>
        <w:spacing w:line="480" w:lineRule="exact"/>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协议书附件：</w:t>
      </w:r>
    </w:p>
    <w:p w14:paraId="5C7E1F2F">
      <w:pPr>
        <w:spacing w:line="480" w:lineRule="exact"/>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附件1：承包人承揽工程项目一览表</w:t>
      </w:r>
    </w:p>
    <w:p w14:paraId="46B91623">
      <w:pPr>
        <w:spacing w:line="480" w:lineRule="exact"/>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专用合同条款附件：</w:t>
      </w:r>
    </w:p>
    <w:p w14:paraId="78BF6C5C">
      <w:pPr>
        <w:spacing w:line="480" w:lineRule="exact"/>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附件2：发包人供应材料设备一览表</w:t>
      </w:r>
    </w:p>
    <w:p w14:paraId="72DD1F91">
      <w:pPr>
        <w:spacing w:line="480" w:lineRule="exact"/>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附件3：工程质量保修书</w:t>
      </w:r>
    </w:p>
    <w:p w14:paraId="37C8E017">
      <w:pPr>
        <w:spacing w:line="480" w:lineRule="exact"/>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附件4：主要建设工程文件目录</w:t>
      </w:r>
    </w:p>
    <w:p w14:paraId="6035312E">
      <w:pPr>
        <w:spacing w:line="480" w:lineRule="exact"/>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附件5：承包人用于本工程施工的机械设备表</w:t>
      </w:r>
    </w:p>
    <w:p w14:paraId="49320EA7">
      <w:pPr>
        <w:spacing w:line="480" w:lineRule="exact"/>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附件6：承包人主要施工管理人员表</w:t>
      </w:r>
    </w:p>
    <w:p w14:paraId="78F37239">
      <w:pPr>
        <w:spacing w:line="480" w:lineRule="exact"/>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附件7：分包人主要施工管理人员表</w:t>
      </w:r>
    </w:p>
    <w:p w14:paraId="7F0D08C8">
      <w:pPr>
        <w:spacing w:line="480" w:lineRule="exact"/>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附件8：履约担保格式</w:t>
      </w:r>
    </w:p>
    <w:p w14:paraId="558D0439">
      <w:pPr>
        <w:spacing w:line="480" w:lineRule="exact"/>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附件9：预付款担保格式</w:t>
      </w:r>
    </w:p>
    <w:p w14:paraId="28CB72FA">
      <w:pPr>
        <w:spacing w:line="480" w:lineRule="exact"/>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附件10：支付担保格式</w:t>
      </w:r>
    </w:p>
    <w:p w14:paraId="38C61E75">
      <w:pPr>
        <w:spacing w:line="480" w:lineRule="exact"/>
        <w:jc w:val="left"/>
        <w:rPr>
          <w:rFonts w:ascii="宋体" w:hAnsi="宋体" w:cs="宋体"/>
          <w:color w:val="000000" w:themeColor="text1"/>
          <w:kern w:val="21"/>
          <w:szCs w:val="21"/>
          <w:highlight w:val="none"/>
          <w14:textFill>
            <w14:solidFill>
              <w14:schemeClr w14:val="tx1"/>
            </w14:solidFill>
          </w14:textFill>
        </w:rPr>
        <w:sectPr>
          <w:pgSz w:w="11906" w:h="16838"/>
          <w:pgMar w:top="1440" w:right="1080" w:bottom="1440" w:left="1080" w:header="851" w:footer="992" w:gutter="0"/>
          <w:cols w:space="720" w:num="1"/>
          <w:titlePg/>
          <w:docGrid w:type="lines" w:linePitch="312" w:charSpace="0"/>
        </w:sectPr>
      </w:pPr>
      <w:r>
        <w:rPr>
          <w:rFonts w:hint="eastAsia" w:ascii="宋体" w:hAnsi="宋体" w:cs="宋体"/>
          <w:color w:val="000000" w:themeColor="text1"/>
          <w:kern w:val="21"/>
          <w:szCs w:val="21"/>
          <w:highlight w:val="none"/>
          <w14:textFill>
            <w14:solidFill>
              <w14:schemeClr w14:val="tx1"/>
            </w14:solidFill>
          </w14:textFill>
        </w:rPr>
        <w:t>附件11：暂估价一览表</w:t>
      </w:r>
    </w:p>
    <w:p w14:paraId="3978C8CA">
      <w:pPr>
        <w:spacing w:before="156" w:beforeLines="50" w:after="156" w:afterLines="50" w:line="340" w:lineRule="exact"/>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附件1：</w:t>
      </w:r>
    </w:p>
    <w:p w14:paraId="55530DA4">
      <w:pPr>
        <w:spacing w:before="156" w:beforeLines="50" w:after="156" w:afterLines="50" w:line="340" w:lineRule="exact"/>
        <w:jc w:val="center"/>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承包人承揽工程项目一览表</w:t>
      </w:r>
    </w:p>
    <w:tbl>
      <w:tblPr>
        <w:tblStyle w:val="7"/>
        <w:tblW w:w="14601"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026B94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vAlign w:val="center"/>
          </w:tcPr>
          <w:p w14:paraId="342B083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单位工程名称</w:t>
            </w:r>
          </w:p>
        </w:tc>
        <w:tc>
          <w:tcPr>
            <w:tcW w:w="1843" w:type="dxa"/>
            <w:tcBorders>
              <w:top w:val="single" w:color="auto" w:sz="12" w:space="0"/>
              <w:bottom w:val="double" w:color="auto" w:sz="6" w:space="0"/>
            </w:tcBorders>
            <w:vAlign w:val="center"/>
          </w:tcPr>
          <w:p w14:paraId="2E408C2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建设规模</w:t>
            </w:r>
          </w:p>
        </w:tc>
        <w:tc>
          <w:tcPr>
            <w:tcW w:w="1417" w:type="dxa"/>
            <w:tcBorders>
              <w:top w:val="single" w:color="auto" w:sz="12" w:space="0"/>
              <w:bottom w:val="double" w:color="auto" w:sz="6" w:space="0"/>
            </w:tcBorders>
            <w:vAlign w:val="center"/>
          </w:tcPr>
          <w:p w14:paraId="77DD13C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建筑面积(平方米)</w:t>
            </w:r>
          </w:p>
        </w:tc>
        <w:tc>
          <w:tcPr>
            <w:tcW w:w="2410" w:type="dxa"/>
            <w:tcBorders>
              <w:top w:val="single" w:color="auto" w:sz="12" w:space="0"/>
              <w:bottom w:val="double" w:color="auto" w:sz="6" w:space="0"/>
            </w:tcBorders>
            <w:vAlign w:val="center"/>
          </w:tcPr>
          <w:p w14:paraId="0CA776C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结构形式</w:t>
            </w:r>
          </w:p>
        </w:tc>
        <w:tc>
          <w:tcPr>
            <w:tcW w:w="850" w:type="dxa"/>
            <w:tcBorders>
              <w:top w:val="single" w:color="auto" w:sz="12" w:space="0"/>
              <w:bottom w:val="double" w:color="auto" w:sz="6" w:space="0"/>
            </w:tcBorders>
            <w:vAlign w:val="center"/>
          </w:tcPr>
          <w:p w14:paraId="055A3BA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层数</w:t>
            </w:r>
          </w:p>
        </w:tc>
        <w:tc>
          <w:tcPr>
            <w:tcW w:w="1560" w:type="dxa"/>
            <w:tcBorders>
              <w:top w:val="single" w:color="auto" w:sz="12" w:space="0"/>
              <w:bottom w:val="double" w:color="auto" w:sz="6" w:space="0"/>
            </w:tcBorders>
            <w:vAlign w:val="center"/>
          </w:tcPr>
          <w:p w14:paraId="69A0EF9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生产能力</w:t>
            </w:r>
          </w:p>
        </w:tc>
        <w:tc>
          <w:tcPr>
            <w:tcW w:w="2126" w:type="dxa"/>
            <w:tcBorders>
              <w:top w:val="single" w:color="auto" w:sz="12" w:space="0"/>
              <w:bottom w:val="double" w:color="auto" w:sz="6" w:space="0"/>
            </w:tcBorders>
            <w:vAlign w:val="center"/>
          </w:tcPr>
          <w:p w14:paraId="0987203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设备安装内容</w:t>
            </w:r>
          </w:p>
        </w:tc>
        <w:tc>
          <w:tcPr>
            <w:tcW w:w="1417" w:type="dxa"/>
            <w:tcBorders>
              <w:top w:val="single" w:color="auto" w:sz="12" w:space="0"/>
              <w:bottom w:val="double" w:color="auto" w:sz="6" w:space="0"/>
            </w:tcBorders>
            <w:vAlign w:val="center"/>
          </w:tcPr>
          <w:p w14:paraId="17AC556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合同价格（元）</w:t>
            </w:r>
          </w:p>
        </w:tc>
        <w:tc>
          <w:tcPr>
            <w:tcW w:w="851" w:type="dxa"/>
            <w:tcBorders>
              <w:top w:val="single" w:color="auto" w:sz="12" w:space="0"/>
              <w:bottom w:val="double" w:color="auto" w:sz="6" w:space="0"/>
            </w:tcBorders>
            <w:vAlign w:val="center"/>
          </w:tcPr>
          <w:p w14:paraId="6D5524E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开工日期</w:t>
            </w:r>
          </w:p>
        </w:tc>
        <w:tc>
          <w:tcPr>
            <w:tcW w:w="850" w:type="dxa"/>
            <w:tcBorders>
              <w:top w:val="single" w:color="auto" w:sz="12" w:space="0"/>
              <w:bottom w:val="double" w:color="auto" w:sz="6" w:space="0"/>
            </w:tcBorders>
            <w:vAlign w:val="center"/>
          </w:tcPr>
          <w:p w14:paraId="5EE90EE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竣工日期</w:t>
            </w:r>
          </w:p>
        </w:tc>
      </w:tr>
      <w:tr w14:paraId="36C557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vAlign w:val="center"/>
          </w:tcPr>
          <w:p w14:paraId="79928EF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843" w:type="dxa"/>
            <w:tcBorders>
              <w:top w:val="double" w:color="auto" w:sz="6" w:space="0"/>
              <w:bottom w:val="single" w:color="auto" w:sz="6" w:space="0"/>
            </w:tcBorders>
            <w:vAlign w:val="center"/>
          </w:tcPr>
          <w:p w14:paraId="3C9684B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7" w:type="dxa"/>
            <w:tcBorders>
              <w:top w:val="double" w:color="auto" w:sz="6" w:space="0"/>
              <w:bottom w:val="single" w:color="auto" w:sz="6" w:space="0"/>
            </w:tcBorders>
            <w:vAlign w:val="center"/>
          </w:tcPr>
          <w:p w14:paraId="7BF6D57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2410" w:type="dxa"/>
            <w:tcBorders>
              <w:top w:val="double" w:color="auto" w:sz="6" w:space="0"/>
              <w:bottom w:val="single" w:color="auto" w:sz="6" w:space="0"/>
            </w:tcBorders>
            <w:vAlign w:val="center"/>
          </w:tcPr>
          <w:p w14:paraId="454454B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tcBorders>
              <w:top w:val="double" w:color="auto" w:sz="6" w:space="0"/>
              <w:bottom w:val="single" w:color="auto" w:sz="6" w:space="0"/>
            </w:tcBorders>
            <w:vAlign w:val="center"/>
          </w:tcPr>
          <w:p w14:paraId="7552AAD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560" w:type="dxa"/>
            <w:tcBorders>
              <w:top w:val="double" w:color="auto" w:sz="6" w:space="0"/>
              <w:bottom w:val="single" w:color="auto" w:sz="6" w:space="0"/>
            </w:tcBorders>
            <w:vAlign w:val="center"/>
          </w:tcPr>
          <w:p w14:paraId="00CA2F5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2126" w:type="dxa"/>
            <w:tcBorders>
              <w:top w:val="double" w:color="auto" w:sz="6" w:space="0"/>
              <w:bottom w:val="single" w:color="auto" w:sz="6" w:space="0"/>
            </w:tcBorders>
            <w:vAlign w:val="center"/>
          </w:tcPr>
          <w:p w14:paraId="3D8C206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7" w:type="dxa"/>
            <w:tcBorders>
              <w:top w:val="double" w:color="auto" w:sz="6" w:space="0"/>
              <w:bottom w:val="single" w:color="auto" w:sz="6" w:space="0"/>
            </w:tcBorders>
            <w:vAlign w:val="center"/>
          </w:tcPr>
          <w:p w14:paraId="6AFA1A7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Borders>
              <w:top w:val="double" w:color="auto" w:sz="6" w:space="0"/>
              <w:bottom w:val="single" w:color="auto" w:sz="6" w:space="0"/>
            </w:tcBorders>
            <w:vAlign w:val="center"/>
          </w:tcPr>
          <w:p w14:paraId="330F48B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tcBorders>
              <w:top w:val="double" w:color="auto" w:sz="6" w:space="0"/>
              <w:bottom w:val="single" w:color="auto" w:sz="6" w:space="0"/>
            </w:tcBorders>
            <w:vAlign w:val="center"/>
          </w:tcPr>
          <w:p w14:paraId="522836E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61A777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7008A85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843" w:type="dxa"/>
            <w:tcBorders>
              <w:top w:val="nil"/>
            </w:tcBorders>
            <w:vAlign w:val="center"/>
          </w:tcPr>
          <w:p w14:paraId="7EE3DC8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7" w:type="dxa"/>
            <w:tcBorders>
              <w:top w:val="nil"/>
            </w:tcBorders>
            <w:vAlign w:val="center"/>
          </w:tcPr>
          <w:p w14:paraId="0E151C3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2410" w:type="dxa"/>
            <w:tcBorders>
              <w:top w:val="nil"/>
            </w:tcBorders>
            <w:vAlign w:val="center"/>
          </w:tcPr>
          <w:p w14:paraId="6B1EE4C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tcBorders>
              <w:top w:val="nil"/>
            </w:tcBorders>
            <w:vAlign w:val="center"/>
          </w:tcPr>
          <w:p w14:paraId="2FBA5C4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560" w:type="dxa"/>
            <w:tcBorders>
              <w:top w:val="nil"/>
            </w:tcBorders>
            <w:vAlign w:val="center"/>
          </w:tcPr>
          <w:p w14:paraId="05F393F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2126" w:type="dxa"/>
            <w:tcBorders>
              <w:top w:val="nil"/>
            </w:tcBorders>
            <w:vAlign w:val="center"/>
          </w:tcPr>
          <w:p w14:paraId="0BD931C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7" w:type="dxa"/>
            <w:tcBorders>
              <w:top w:val="nil"/>
            </w:tcBorders>
            <w:vAlign w:val="center"/>
          </w:tcPr>
          <w:p w14:paraId="32DD8EA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Borders>
              <w:top w:val="nil"/>
            </w:tcBorders>
            <w:vAlign w:val="center"/>
          </w:tcPr>
          <w:p w14:paraId="6B1A8EF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tcBorders>
              <w:top w:val="nil"/>
            </w:tcBorders>
            <w:vAlign w:val="center"/>
          </w:tcPr>
          <w:p w14:paraId="3A7EAD0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134B26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384A02F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843" w:type="dxa"/>
            <w:tcBorders>
              <w:top w:val="nil"/>
            </w:tcBorders>
            <w:vAlign w:val="center"/>
          </w:tcPr>
          <w:p w14:paraId="7096F29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7" w:type="dxa"/>
            <w:tcBorders>
              <w:top w:val="nil"/>
            </w:tcBorders>
            <w:vAlign w:val="center"/>
          </w:tcPr>
          <w:p w14:paraId="2083E7A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2410" w:type="dxa"/>
            <w:tcBorders>
              <w:top w:val="nil"/>
            </w:tcBorders>
            <w:vAlign w:val="center"/>
          </w:tcPr>
          <w:p w14:paraId="5ACDA76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tcBorders>
              <w:top w:val="nil"/>
            </w:tcBorders>
            <w:vAlign w:val="center"/>
          </w:tcPr>
          <w:p w14:paraId="038AEB4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560" w:type="dxa"/>
            <w:tcBorders>
              <w:top w:val="nil"/>
            </w:tcBorders>
            <w:vAlign w:val="center"/>
          </w:tcPr>
          <w:p w14:paraId="711F6FF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2126" w:type="dxa"/>
            <w:tcBorders>
              <w:top w:val="nil"/>
            </w:tcBorders>
            <w:vAlign w:val="center"/>
          </w:tcPr>
          <w:p w14:paraId="33751FD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7" w:type="dxa"/>
            <w:tcBorders>
              <w:top w:val="nil"/>
            </w:tcBorders>
            <w:vAlign w:val="center"/>
          </w:tcPr>
          <w:p w14:paraId="69CCACB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Borders>
              <w:top w:val="nil"/>
            </w:tcBorders>
            <w:vAlign w:val="center"/>
          </w:tcPr>
          <w:p w14:paraId="1CC5525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tcBorders>
              <w:top w:val="nil"/>
            </w:tcBorders>
            <w:vAlign w:val="center"/>
          </w:tcPr>
          <w:p w14:paraId="1FAE7FA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3C1825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14:paraId="5BDA2AE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843" w:type="dxa"/>
            <w:vAlign w:val="center"/>
          </w:tcPr>
          <w:p w14:paraId="0D150BF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7" w:type="dxa"/>
            <w:vAlign w:val="center"/>
          </w:tcPr>
          <w:p w14:paraId="505C8ED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2410" w:type="dxa"/>
            <w:vAlign w:val="center"/>
          </w:tcPr>
          <w:p w14:paraId="34CB641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vAlign w:val="center"/>
          </w:tcPr>
          <w:p w14:paraId="6B83E88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560" w:type="dxa"/>
            <w:vAlign w:val="center"/>
          </w:tcPr>
          <w:p w14:paraId="10D94DC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2126" w:type="dxa"/>
            <w:vAlign w:val="center"/>
          </w:tcPr>
          <w:p w14:paraId="6E2C577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7" w:type="dxa"/>
            <w:vAlign w:val="center"/>
          </w:tcPr>
          <w:p w14:paraId="6CB5716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04C0032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vAlign w:val="center"/>
          </w:tcPr>
          <w:p w14:paraId="515BD0E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64E46C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05C6A8D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843" w:type="dxa"/>
            <w:tcBorders>
              <w:top w:val="nil"/>
            </w:tcBorders>
            <w:vAlign w:val="center"/>
          </w:tcPr>
          <w:p w14:paraId="3622F0E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7" w:type="dxa"/>
            <w:tcBorders>
              <w:top w:val="nil"/>
            </w:tcBorders>
            <w:vAlign w:val="center"/>
          </w:tcPr>
          <w:p w14:paraId="0FBAFB9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2410" w:type="dxa"/>
            <w:tcBorders>
              <w:top w:val="nil"/>
            </w:tcBorders>
            <w:vAlign w:val="center"/>
          </w:tcPr>
          <w:p w14:paraId="54DA03E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tcBorders>
              <w:top w:val="nil"/>
            </w:tcBorders>
            <w:vAlign w:val="center"/>
          </w:tcPr>
          <w:p w14:paraId="1DD6A45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560" w:type="dxa"/>
            <w:tcBorders>
              <w:top w:val="nil"/>
            </w:tcBorders>
            <w:vAlign w:val="center"/>
          </w:tcPr>
          <w:p w14:paraId="30572E0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2126" w:type="dxa"/>
            <w:tcBorders>
              <w:top w:val="nil"/>
            </w:tcBorders>
            <w:vAlign w:val="center"/>
          </w:tcPr>
          <w:p w14:paraId="727342C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7" w:type="dxa"/>
            <w:tcBorders>
              <w:top w:val="nil"/>
            </w:tcBorders>
            <w:vAlign w:val="center"/>
          </w:tcPr>
          <w:p w14:paraId="0E641B8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Borders>
              <w:top w:val="nil"/>
            </w:tcBorders>
            <w:vAlign w:val="center"/>
          </w:tcPr>
          <w:p w14:paraId="661BE2E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tcBorders>
              <w:top w:val="nil"/>
            </w:tcBorders>
            <w:vAlign w:val="center"/>
          </w:tcPr>
          <w:p w14:paraId="1FF31EC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28CEC7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14:paraId="3EFE5EF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843" w:type="dxa"/>
            <w:vAlign w:val="center"/>
          </w:tcPr>
          <w:p w14:paraId="0567887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7" w:type="dxa"/>
            <w:vAlign w:val="center"/>
          </w:tcPr>
          <w:p w14:paraId="6931FB9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2410" w:type="dxa"/>
            <w:vAlign w:val="center"/>
          </w:tcPr>
          <w:p w14:paraId="561FE82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vAlign w:val="center"/>
          </w:tcPr>
          <w:p w14:paraId="356BBCD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560" w:type="dxa"/>
            <w:vAlign w:val="center"/>
          </w:tcPr>
          <w:p w14:paraId="331BC1E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2126" w:type="dxa"/>
            <w:vAlign w:val="center"/>
          </w:tcPr>
          <w:p w14:paraId="2B48DFF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7" w:type="dxa"/>
            <w:vAlign w:val="center"/>
          </w:tcPr>
          <w:p w14:paraId="513F025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6552E7C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vAlign w:val="center"/>
          </w:tcPr>
          <w:p w14:paraId="71392A6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700707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507E78B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843" w:type="dxa"/>
            <w:tcBorders>
              <w:top w:val="nil"/>
            </w:tcBorders>
            <w:vAlign w:val="center"/>
          </w:tcPr>
          <w:p w14:paraId="5BDEFC9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7" w:type="dxa"/>
            <w:tcBorders>
              <w:top w:val="nil"/>
            </w:tcBorders>
            <w:vAlign w:val="center"/>
          </w:tcPr>
          <w:p w14:paraId="49C910E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2410" w:type="dxa"/>
            <w:tcBorders>
              <w:top w:val="nil"/>
            </w:tcBorders>
            <w:vAlign w:val="center"/>
          </w:tcPr>
          <w:p w14:paraId="7012919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tcBorders>
              <w:top w:val="nil"/>
            </w:tcBorders>
            <w:vAlign w:val="center"/>
          </w:tcPr>
          <w:p w14:paraId="23F52A3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560" w:type="dxa"/>
            <w:tcBorders>
              <w:top w:val="nil"/>
            </w:tcBorders>
            <w:vAlign w:val="center"/>
          </w:tcPr>
          <w:p w14:paraId="51BCD5D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2126" w:type="dxa"/>
            <w:tcBorders>
              <w:top w:val="nil"/>
            </w:tcBorders>
            <w:vAlign w:val="center"/>
          </w:tcPr>
          <w:p w14:paraId="7903CF0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7" w:type="dxa"/>
            <w:tcBorders>
              <w:top w:val="nil"/>
            </w:tcBorders>
            <w:vAlign w:val="center"/>
          </w:tcPr>
          <w:p w14:paraId="36ACBB1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Borders>
              <w:top w:val="nil"/>
            </w:tcBorders>
            <w:vAlign w:val="center"/>
          </w:tcPr>
          <w:p w14:paraId="45692E3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tcBorders>
              <w:top w:val="nil"/>
            </w:tcBorders>
            <w:vAlign w:val="center"/>
          </w:tcPr>
          <w:p w14:paraId="1585DAB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431BE5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7C16987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843" w:type="dxa"/>
            <w:tcBorders>
              <w:top w:val="nil"/>
            </w:tcBorders>
            <w:vAlign w:val="center"/>
          </w:tcPr>
          <w:p w14:paraId="6C3B48C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7" w:type="dxa"/>
            <w:tcBorders>
              <w:top w:val="nil"/>
            </w:tcBorders>
            <w:vAlign w:val="center"/>
          </w:tcPr>
          <w:p w14:paraId="339061A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2410" w:type="dxa"/>
            <w:tcBorders>
              <w:top w:val="nil"/>
            </w:tcBorders>
            <w:vAlign w:val="center"/>
          </w:tcPr>
          <w:p w14:paraId="1201E03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tcBorders>
              <w:top w:val="nil"/>
            </w:tcBorders>
            <w:vAlign w:val="center"/>
          </w:tcPr>
          <w:p w14:paraId="0A670E8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560" w:type="dxa"/>
            <w:tcBorders>
              <w:top w:val="nil"/>
            </w:tcBorders>
            <w:vAlign w:val="center"/>
          </w:tcPr>
          <w:p w14:paraId="4D36E1F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2126" w:type="dxa"/>
            <w:tcBorders>
              <w:top w:val="nil"/>
            </w:tcBorders>
            <w:vAlign w:val="center"/>
          </w:tcPr>
          <w:p w14:paraId="0FEBA6E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7" w:type="dxa"/>
            <w:tcBorders>
              <w:top w:val="nil"/>
            </w:tcBorders>
            <w:vAlign w:val="center"/>
          </w:tcPr>
          <w:p w14:paraId="0C7871B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Borders>
              <w:top w:val="nil"/>
            </w:tcBorders>
            <w:vAlign w:val="center"/>
          </w:tcPr>
          <w:p w14:paraId="2FB7DBA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tcBorders>
              <w:top w:val="nil"/>
            </w:tcBorders>
            <w:vAlign w:val="center"/>
          </w:tcPr>
          <w:p w14:paraId="3F1A280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1A9CC9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14:paraId="1316905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843" w:type="dxa"/>
            <w:vAlign w:val="center"/>
          </w:tcPr>
          <w:p w14:paraId="4713A5D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7" w:type="dxa"/>
            <w:vAlign w:val="center"/>
          </w:tcPr>
          <w:p w14:paraId="77DBAB2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2410" w:type="dxa"/>
            <w:vAlign w:val="center"/>
          </w:tcPr>
          <w:p w14:paraId="70C51B3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vAlign w:val="center"/>
          </w:tcPr>
          <w:p w14:paraId="56E59F4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560" w:type="dxa"/>
            <w:vAlign w:val="center"/>
          </w:tcPr>
          <w:p w14:paraId="7658925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2126" w:type="dxa"/>
            <w:vAlign w:val="center"/>
          </w:tcPr>
          <w:p w14:paraId="55276C9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7" w:type="dxa"/>
            <w:vAlign w:val="center"/>
          </w:tcPr>
          <w:p w14:paraId="22DF08E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2443302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vAlign w:val="center"/>
          </w:tcPr>
          <w:p w14:paraId="70FCDAC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240590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3E5F272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843" w:type="dxa"/>
            <w:tcBorders>
              <w:top w:val="nil"/>
            </w:tcBorders>
            <w:vAlign w:val="center"/>
          </w:tcPr>
          <w:p w14:paraId="7AD2C9E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7" w:type="dxa"/>
            <w:tcBorders>
              <w:top w:val="nil"/>
            </w:tcBorders>
            <w:vAlign w:val="center"/>
          </w:tcPr>
          <w:p w14:paraId="066B507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2410" w:type="dxa"/>
            <w:tcBorders>
              <w:top w:val="nil"/>
            </w:tcBorders>
            <w:vAlign w:val="center"/>
          </w:tcPr>
          <w:p w14:paraId="3EF3CEE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tcBorders>
              <w:top w:val="nil"/>
            </w:tcBorders>
            <w:vAlign w:val="center"/>
          </w:tcPr>
          <w:p w14:paraId="4D5CD7B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560" w:type="dxa"/>
            <w:tcBorders>
              <w:top w:val="nil"/>
            </w:tcBorders>
            <w:vAlign w:val="center"/>
          </w:tcPr>
          <w:p w14:paraId="16D2CD1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2126" w:type="dxa"/>
            <w:tcBorders>
              <w:top w:val="nil"/>
            </w:tcBorders>
            <w:vAlign w:val="center"/>
          </w:tcPr>
          <w:p w14:paraId="4800150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7" w:type="dxa"/>
            <w:tcBorders>
              <w:top w:val="nil"/>
            </w:tcBorders>
            <w:vAlign w:val="center"/>
          </w:tcPr>
          <w:p w14:paraId="227D5CF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Borders>
              <w:top w:val="nil"/>
            </w:tcBorders>
            <w:vAlign w:val="center"/>
          </w:tcPr>
          <w:p w14:paraId="620C1AA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tcBorders>
              <w:top w:val="nil"/>
            </w:tcBorders>
            <w:vAlign w:val="center"/>
          </w:tcPr>
          <w:p w14:paraId="1CCAB67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7EF0E2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14:paraId="39F1AEE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843" w:type="dxa"/>
            <w:vAlign w:val="center"/>
          </w:tcPr>
          <w:p w14:paraId="3388E46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7" w:type="dxa"/>
            <w:vAlign w:val="center"/>
          </w:tcPr>
          <w:p w14:paraId="4983452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2410" w:type="dxa"/>
            <w:vAlign w:val="center"/>
          </w:tcPr>
          <w:p w14:paraId="355C085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vAlign w:val="center"/>
          </w:tcPr>
          <w:p w14:paraId="365B700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560" w:type="dxa"/>
            <w:vAlign w:val="center"/>
          </w:tcPr>
          <w:p w14:paraId="10AFD3A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2126" w:type="dxa"/>
            <w:vAlign w:val="center"/>
          </w:tcPr>
          <w:p w14:paraId="6F91EB5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7" w:type="dxa"/>
            <w:vAlign w:val="center"/>
          </w:tcPr>
          <w:p w14:paraId="68C3A5A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0D3EAA3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vAlign w:val="center"/>
          </w:tcPr>
          <w:p w14:paraId="72E0615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bl>
    <w:p w14:paraId="0101C352">
      <w:pPr>
        <w:spacing w:line="340" w:lineRule="exact"/>
        <w:rPr>
          <w:rFonts w:ascii="宋体" w:hAnsi="宋体" w:cs="宋体"/>
          <w:b/>
          <w:color w:val="000000" w:themeColor="text1"/>
          <w:kern w:val="21"/>
          <w:szCs w:val="21"/>
          <w:highlight w:val="none"/>
          <w14:textFill>
            <w14:solidFill>
              <w14:schemeClr w14:val="tx1"/>
            </w14:solidFill>
          </w14:textFill>
        </w:rPr>
        <w:sectPr>
          <w:pgSz w:w="16838" w:h="11906" w:orient="landscape"/>
          <w:pgMar w:top="1554" w:right="1418" w:bottom="1531" w:left="1418" w:header="851" w:footer="992" w:gutter="0"/>
          <w:cols w:space="720" w:num="1"/>
          <w:titlePg/>
          <w:docGrid w:type="linesAndChars" w:linePitch="312" w:charSpace="0"/>
        </w:sectPr>
      </w:pPr>
    </w:p>
    <w:p w14:paraId="0C7A8F0A">
      <w:pPr>
        <w:spacing w:line="3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附</w:t>
      </w:r>
      <w:bookmarkStart w:id="587" w:name="_Toc296891053"/>
      <w:bookmarkStart w:id="588" w:name="_Toc296503225"/>
      <w:bookmarkStart w:id="589" w:name="_Toc296346726"/>
      <w:bookmarkStart w:id="590" w:name="_Toc296891265"/>
      <w:bookmarkStart w:id="591" w:name="_Toc267261692"/>
      <w:bookmarkStart w:id="592" w:name="_Toc296944564"/>
      <w:bookmarkStart w:id="593" w:name="_Toc296347224"/>
      <w:r>
        <w:rPr>
          <w:rFonts w:hint="eastAsia" w:ascii="宋体" w:hAnsi="宋体" w:cs="宋体"/>
          <w:color w:val="000000" w:themeColor="text1"/>
          <w:kern w:val="21"/>
          <w:szCs w:val="21"/>
          <w:highlight w:val="none"/>
          <w14:textFill>
            <w14:solidFill>
              <w14:schemeClr w14:val="tx1"/>
            </w14:solidFill>
          </w14:textFill>
        </w:rPr>
        <w:t>件2：</w:t>
      </w:r>
    </w:p>
    <w:bookmarkEnd w:id="587"/>
    <w:bookmarkEnd w:id="588"/>
    <w:bookmarkEnd w:id="589"/>
    <w:bookmarkEnd w:id="590"/>
    <w:bookmarkEnd w:id="591"/>
    <w:bookmarkEnd w:id="592"/>
    <w:bookmarkEnd w:id="593"/>
    <w:p w14:paraId="35FC4BAD">
      <w:pPr>
        <w:spacing w:before="156" w:beforeLines="50" w:after="156" w:afterLines="50" w:line="340" w:lineRule="exact"/>
        <w:jc w:val="center"/>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发包人供应材料设备一览表</w:t>
      </w:r>
    </w:p>
    <w:tbl>
      <w:tblPr>
        <w:tblStyle w:val="7"/>
        <w:tblW w:w="1070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6BCE24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vAlign w:val="center"/>
          </w:tcPr>
          <w:p w14:paraId="7057B7A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序号</w:t>
            </w:r>
          </w:p>
        </w:tc>
        <w:tc>
          <w:tcPr>
            <w:tcW w:w="1276" w:type="dxa"/>
            <w:tcBorders>
              <w:top w:val="single" w:color="auto" w:sz="12" w:space="0"/>
              <w:bottom w:val="double" w:color="auto" w:sz="6" w:space="0"/>
            </w:tcBorders>
            <w:vAlign w:val="center"/>
          </w:tcPr>
          <w:p w14:paraId="0E7F112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 xml:space="preserve">  材料、</w:t>
            </w:r>
          </w:p>
          <w:p w14:paraId="3F07B07E">
            <w:pPr>
              <w:pStyle w:val="2"/>
              <w:keepNext/>
              <w:spacing w:line="340" w:lineRule="exact"/>
              <w:ind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设备品种</w:t>
            </w:r>
          </w:p>
        </w:tc>
        <w:tc>
          <w:tcPr>
            <w:tcW w:w="1418" w:type="dxa"/>
            <w:tcBorders>
              <w:top w:val="single" w:color="auto" w:sz="12" w:space="0"/>
              <w:bottom w:val="double" w:color="auto" w:sz="6" w:space="0"/>
            </w:tcBorders>
            <w:vAlign w:val="center"/>
          </w:tcPr>
          <w:p w14:paraId="376126F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规格型号</w:t>
            </w:r>
          </w:p>
        </w:tc>
        <w:tc>
          <w:tcPr>
            <w:tcW w:w="940" w:type="dxa"/>
            <w:tcBorders>
              <w:top w:val="single" w:color="auto" w:sz="12" w:space="0"/>
              <w:bottom w:val="double" w:color="auto" w:sz="6" w:space="0"/>
            </w:tcBorders>
            <w:vAlign w:val="center"/>
          </w:tcPr>
          <w:p w14:paraId="5A8210F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单位</w:t>
            </w:r>
          </w:p>
        </w:tc>
        <w:tc>
          <w:tcPr>
            <w:tcW w:w="851" w:type="dxa"/>
            <w:tcBorders>
              <w:top w:val="single" w:color="auto" w:sz="12" w:space="0"/>
              <w:bottom w:val="double" w:color="auto" w:sz="6" w:space="0"/>
            </w:tcBorders>
            <w:vAlign w:val="center"/>
          </w:tcPr>
          <w:p w14:paraId="4304801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数量</w:t>
            </w:r>
          </w:p>
        </w:tc>
        <w:tc>
          <w:tcPr>
            <w:tcW w:w="1044" w:type="dxa"/>
            <w:tcBorders>
              <w:top w:val="single" w:color="auto" w:sz="12" w:space="0"/>
              <w:bottom w:val="double" w:color="auto" w:sz="6" w:space="0"/>
            </w:tcBorders>
            <w:vAlign w:val="center"/>
          </w:tcPr>
          <w:p w14:paraId="3301AC7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单价（元）</w:t>
            </w:r>
          </w:p>
        </w:tc>
        <w:tc>
          <w:tcPr>
            <w:tcW w:w="992" w:type="dxa"/>
            <w:tcBorders>
              <w:top w:val="single" w:color="auto" w:sz="12" w:space="0"/>
              <w:bottom w:val="double" w:color="auto" w:sz="6" w:space="0"/>
            </w:tcBorders>
            <w:vAlign w:val="center"/>
          </w:tcPr>
          <w:p w14:paraId="15B4B4F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质量等级</w:t>
            </w:r>
          </w:p>
        </w:tc>
        <w:tc>
          <w:tcPr>
            <w:tcW w:w="851" w:type="dxa"/>
            <w:tcBorders>
              <w:top w:val="single" w:color="auto" w:sz="12" w:space="0"/>
              <w:bottom w:val="double" w:color="auto" w:sz="6" w:space="0"/>
            </w:tcBorders>
            <w:vAlign w:val="center"/>
          </w:tcPr>
          <w:p w14:paraId="2909C2D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供应时间</w:t>
            </w:r>
          </w:p>
        </w:tc>
        <w:tc>
          <w:tcPr>
            <w:tcW w:w="1487" w:type="dxa"/>
            <w:tcBorders>
              <w:top w:val="single" w:color="auto" w:sz="12" w:space="0"/>
              <w:bottom w:val="double" w:color="auto" w:sz="6" w:space="0"/>
            </w:tcBorders>
            <w:vAlign w:val="center"/>
          </w:tcPr>
          <w:p w14:paraId="5A02ECE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送达地点</w:t>
            </w:r>
          </w:p>
        </w:tc>
        <w:tc>
          <w:tcPr>
            <w:tcW w:w="992" w:type="dxa"/>
            <w:tcBorders>
              <w:top w:val="single" w:color="auto" w:sz="12" w:space="0"/>
              <w:bottom w:val="double" w:color="auto" w:sz="6" w:space="0"/>
            </w:tcBorders>
            <w:vAlign w:val="center"/>
          </w:tcPr>
          <w:p w14:paraId="110A5A8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备注</w:t>
            </w:r>
          </w:p>
        </w:tc>
      </w:tr>
      <w:tr w14:paraId="5B4128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vAlign w:val="center"/>
          </w:tcPr>
          <w:p w14:paraId="1AE1AE5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276" w:type="dxa"/>
            <w:tcBorders>
              <w:top w:val="double" w:color="auto" w:sz="6" w:space="0"/>
              <w:bottom w:val="single" w:color="auto" w:sz="6" w:space="0"/>
            </w:tcBorders>
            <w:vAlign w:val="center"/>
          </w:tcPr>
          <w:p w14:paraId="427B174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Borders>
              <w:top w:val="double" w:color="auto" w:sz="6" w:space="0"/>
              <w:bottom w:val="single" w:color="auto" w:sz="6" w:space="0"/>
            </w:tcBorders>
            <w:vAlign w:val="center"/>
          </w:tcPr>
          <w:p w14:paraId="24473E3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40" w:type="dxa"/>
            <w:tcBorders>
              <w:top w:val="double" w:color="auto" w:sz="6" w:space="0"/>
              <w:bottom w:val="single" w:color="auto" w:sz="6" w:space="0"/>
            </w:tcBorders>
            <w:vAlign w:val="center"/>
          </w:tcPr>
          <w:p w14:paraId="7133B7F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Borders>
              <w:top w:val="double" w:color="auto" w:sz="6" w:space="0"/>
              <w:bottom w:val="single" w:color="auto" w:sz="6" w:space="0"/>
            </w:tcBorders>
            <w:vAlign w:val="center"/>
          </w:tcPr>
          <w:p w14:paraId="2241BCD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44" w:type="dxa"/>
            <w:tcBorders>
              <w:top w:val="double" w:color="auto" w:sz="6" w:space="0"/>
              <w:bottom w:val="single" w:color="auto" w:sz="6" w:space="0"/>
            </w:tcBorders>
            <w:vAlign w:val="center"/>
          </w:tcPr>
          <w:p w14:paraId="03A42C8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92" w:type="dxa"/>
            <w:tcBorders>
              <w:top w:val="double" w:color="auto" w:sz="6" w:space="0"/>
              <w:bottom w:val="single" w:color="auto" w:sz="6" w:space="0"/>
            </w:tcBorders>
            <w:vAlign w:val="center"/>
          </w:tcPr>
          <w:p w14:paraId="2844B4E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Borders>
              <w:top w:val="double" w:color="auto" w:sz="6" w:space="0"/>
              <w:bottom w:val="single" w:color="auto" w:sz="6" w:space="0"/>
            </w:tcBorders>
            <w:vAlign w:val="center"/>
          </w:tcPr>
          <w:p w14:paraId="2E47E14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87" w:type="dxa"/>
            <w:tcBorders>
              <w:top w:val="double" w:color="auto" w:sz="6" w:space="0"/>
              <w:bottom w:val="single" w:color="auto" w:sz="6" w:space="0"/>
            </w:tcBorders>
            <w:vAlign w:val="center"/>
          </w:tcPr>
          <w:p w14:paraId="5F3AEA0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92" w:type="dxa"/>
            <w:tcBorders>
              <w:top w:val="double" w:color="auto" w:sz="6" w:space="0"/>
              <w:bottom w:val="single" w:color="auto" w:sz="6" w:space="0"/>
            </w:tcBorders>
            <w:vAlign w:val="center"/>
          </w:tcPr>
          <w:p w14:paraId="270A1D6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2F26B8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vAlign w:val="center"/>
          </w:tcPr>
          <w:p w14:paraId="624106A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276" w:type="dxa"/>
            <w:tcBorders>
              <w:top w:val="nil"/>
            </w:tcBorders>
            <w:vAlign w:val="center"/>
          </w:tcPr>
          <w:p w14:paraId="7BB834D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Borders>
              <w:top w:val="nil"/>
            </w:tcBorders>
            <w:vAlign w:val="center"/>
          </w:tcPr>
          <w:p w14:paraId="7A1E87E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40" w:type="dxa"/>
            <w:tcBorders>
              <w:top w:val="nil"/>
            </w:tcBorders>
            <w:vAlign w:val="center"/>
          </w:tcPr>
          <w:p w14:paraId="107AEB8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Borders>
              <w:top w:val="nil"/>
            </w:tcBorders>
            <w:vAlign w:val="center"/>
          </w:tcPr>
          <w:p w14:paraId="32FE33A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44" w:type="dxa"/>
            <w:tcBorders>
              <w:top w:val="nil"/>
            </w:tcBorders>
            <w:vAlign w:val="center"/>
          </w:tcPr>
          <w:p w14:paraId="05D4E66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92" w:type="dxa"/>
            <w:tcBorders>
              <w:top w:val="nil"/>
            </w:tcBorders>
            <w:vAlign w:val="center"/>
          </w:tcPr>
          <w:p w14:paraId="7E511B7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Borders>
              <w:top w:val="nil"/>
            </w:tcBorders>
            <w:vAlign w:val="center"/>
          </w:tcPr>
          <w:p w14:paraId="6F86FB9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87" w:type="dxa"/>
            <w:tcBorders>
              <w:top w:val="nil"/>
            </w:tcBorders>
            <w:vAlign w:val="center"/>
          </w:tcPr>
          <w:p w14:paraId="0F81626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92" w:type="dxa"/>
            <w:tcBorders>
              <w:top w:val="nil"/>
            </w:tcBorders>
            <w:vAlign w:val="center"/>
          </w:tcPr>
          <w:p w14:paraId="46BBA70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3D8071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02B7C0C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276" w:type="dxa"/>
            <w:vAlign w:val="center"/>
          </w:tcPr>
          <w:p w14:paraId="7120A45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4A64D8B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40" w:type="dxa"/>
            <w:vAlign w:val="center"/>
          </w:tcPr>
          <w:p w14:paraId="62FDCD7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45E1280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44" w:type="dxa"/>
            <w:vAlign w:val="center"/>
          </w:tcPr>
          <w:p w14:paraId="582C083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1705E11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5C90988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87" w:type="dxa"/>
            <w:vAlign w:val="center"/>
          </w:tcPr>
          <w:p w14:paraId="17C36DC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59AB04D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61621C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22A7739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276" w:type="dxa"/>
            <w:vAlign w:val="center"/>
          </w:tcPr>
          <w:p w14:paraId="75AB52A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32ACCA6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40" w:type="dxa"/>
            <w:vAlign w:val="center"/>
          </w:tcPr>
          <w:p w14:paraId="5813A82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22EF9E9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44" w:type="dxa"/>
            <w:vAlign w:val="center"/>
          </w:tcPr>
          <w:p w14:paraId="556475C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76EFB1E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225CC2B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87" w:type="dxa"/>
            <w:vAlign w:val="center"/>
          </w:tcPr>
          <w:p w14:paraId="06DFF60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4F9ED50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1DDA59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7B15BBB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276" w:type="dxa"/>
            <w:vAlign w:val="center"/>
          </w:tcPr>
          <w:p w14:paraId="3485632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3E8FFB8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40" w:type="dxa"/>
            <w:vAlign w:val="center"/>
          </w:tcPr>
          <w:p w14:paraId="5B588D8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145A320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44" w:type="dxa"/>
            <w:vAlign w:val="center"/>
          </w:tcPr>
          <w:p w14:paraId="2349EDC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09AC709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43CF956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87" w:type="dxa"/>
            <w:vAlign w:val="center"/>
          </w:tcPr>
          <w:p w14:paraId="016F1AA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2C27A29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617CCC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7431EF6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276" w:type="dxa"/>
            <w:vAlign w:val="center"/>
          </w:tcPr>
          <w:p w14:paraId="2F2FC0A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3A3561D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40" w:type="dxa"/>
            <w:vAlign w:val="center"/>
          </w:tcPr>
          <w:p w14:paraId="5E1C605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20C1811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44" w:type="dxa"/>
            <w:vAlign w:val="center"/>
          </w:tcPr>
          <w:p w14:paraId="3D8F8D1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5154CF4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2AEDF06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87" w:type="dxa"/>
            <w:vAlign w:val="center"/>
          </w:tcPr>
          <w:p w14:paraId="7EA08C5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5D1B24A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12E525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6043F1E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276" w:type="dxa"/>
            <w:vAlign w:val="center"/>
          </w:tcPr>
          <w:p w14:paraId="5356B0C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474127C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40" w:type="dxa"/>
            <w:vAlign w:val="center"/>
          </w:tcPr>
          <w:p w14:paraId="2F95C44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5D4A9D2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44" w:type="dxa"/>
            <w:vAlign w:val="center"/>
          </w:tcPr>
          <w:p w14:paraId="34749AA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086E080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07F8994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87" w:type="dxa"/>
            <w:vAlign w:val="center"/>
          </w:tcPr>
          <w:p w14:paraId="5BD58F9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11DA272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65E4CA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1E4DDDF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276" w:type="dxa"/>
            <w:vAlign w:val="center"/>
          </w:tcPr>
          <w:p w14:paraId="1037A0A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2E2FA3B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40" w:type="dxa"/>
            <w:vAlign w:val="center"/>
          </w:tcPr>
          <w:p w14:paraId="4617ABB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7F003BD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44" w:type="dxa"/>
            <w:vAlign w:val="center"/>
          </w:tcPr>
          <w:p w14:paraId="686828A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59DDBF9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1725024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87" w:type="dxa"/>
            <w:vAlign w:val="center"/>
          </w:tcPr>
          <w:p w14:paraId="16047D2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32D11D8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2617A7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167BB05B">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276" w:type="dxa"/>
            <w:vAlign w:val="center"/>
          </w:tcPr>
          <w:p w14:paraId="5AF36FA0">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6D6CEE5E">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940" w:type="dxa"/>
            <w:vAlign w:val="center"/>
          </w:tcPr>
          <w:p w14:paraId="714D6DEF">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3E6C913E">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044" w:type="dxa"/>
            <w:vAlign w:val="center"/>
          </w:tcPr>
          <w:p w14:paraId="00C7E165">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059F81CB">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23886ECF">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487" w:type="dxa"/>
            <w:vAlign w:val="center"/>
          </w:tcPr>
          <w:p w14:paraId="47452C97">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283F69B2">
            <w:pPr>
              <w:spacing w:line="340" w:lineRule="exact"/>
              <w:jc w:val="center"/>
              <w:rPr>
                <w:rFonts w:ascii="宋体" w:hAnsi="宋体" w:cs="宋体"/>
                <w:color w:val="000000" w:themeColor="text1"/>
                <w:kern w:val="21"/>
                <w:szCs w:val="21"/>
                <w:highlight w:val="none"/>
                <w14:textFill>
                  <w14:solidFill>
                    <w14:schemeClr w14:val="tx1"/>
                  </w14:solidFill>
                </w14:textFill>
              </w:rPr>
            </w:pPr>
          </w:p>
        </w:tc>
      </w:tr>
      <w:tr w14:paraId="7273D4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76DE77D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276" w:type="dxa"/>
            <w:vAlign w:val="center"/>
          </w:tcPr>
          <w:p w14:paraId="3D27150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6AF3D29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40" w:type="dxa"/>
            <w:vAlign w:val="center"/>
          </w:tcPr>
          <w:p w14:paraId="2576785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57BC25B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44" w:type="dxa"/>
            <w:vAlign w:val="center"/>
          </w:tcPr>
          <w:p w14:paraId="040D8AF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2ED4902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462A60F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87" w:type="dxa"/>
            <w:vAlign w:val="center"/>
          </w:tcPr>
          <w:p w14:paraId="39B0E45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1436186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2AB5D8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1F550FF1">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276" w:type="dxa"/>
            <w:vAlign w:val="center"/>
          </w:tcPr>
          <w:p w14:paraId="56888960">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1073253A">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940" w:type="dxa"/>
            <w:vAlign w:val="center"/>
          </w:tcPr>
          <w:p w14:paraId="0ECAEA3F">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7219C896">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044" w:type="dxa"/>
            <w:vAlign w:val="center"/>
          </w:tcPr>
          <w:p w14:paraId="48AD08D8">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022968FE">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5DFF944D">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487" w:type="dxa"/>
            <w:vAlign w:val="center"/>
          </w:tcPr>
          <w:p w14:paraId="4F834F3B">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09B5E008">
            <w:pPr>
              <w:spacing w:line="340" w:lineRule="exact"/>
              <w:jc w:val="center"/>
              <w:rPr>
                <w:rFonts w:ascii="宋体" w:hAnsi="宋体" w:cs="宋体"/>
                <w:color w:val="000000" w:themeColor="text1"/>
                <w:kern w:val="21"/>
                <w:szCs w:val="21"/>
                <w:highlight w:val="none"/>
                <w14:textFill>
                  <w14:solidFill>
                    <w14:schemeClr w14:val="tx1"/>
                  </w14:solidFill>
                </w14:textFill>
              </w:rPr>
            </w:pPr>
          </w:p>
        </w:tc>
      </w:tr>
      <w:tr w14:paraId="2C2FDC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556C4648">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276" w:type="dxa"/>
            <w:vAlign w:val="center"/>
          </w:tcPr>
          <w:p w14:paraId="032AD198">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7FBC1449">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940" w:type="dxa"/>
            <w:vAlign w:val="center"/>
          </w:tcPr>
          <w:p w14:paraId="3FB57F62">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42D549F3">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044" w:type="dxa"/>
            <w:vAlign w:val="center"/>
          </w:tcPr>
          <w:p w14:paraId="29CA757C">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055DFC87">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19608E95">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487" w:type="dxa"/>
            <w:vAlign w:val="center"/>
          </w:tcPr>
          <w:p w14:paraId="28DFF362">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5451E482">
            <w:pPr>
              <w:spacing w:line="340" w:lineRule="exact"/>
              <w:jc w:val="center"/>
              <w:rPr>
                <w:rFonts w:ascii="宋体" w:hAnsi="宋体" w:cs="宋体"/>
                <w:color w:val="000000" w:themeColor="text1"/>
                <w:kern w:val="21"/>
                <w:szCs w:val="21"/>
                <w:highlight w:val="none"/>
                <w14:textFill>
                  <w14:solidFill>
                    <w14:schemeClr w14:val="tx1"/>
                  </w14:solidFill>
                </w14:textFill>
              </w:rPr>
            </w:pPr>
          </w:p>
        </w:tc>
      </w:tr>
      <w:tr w14:paraId="76750A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6248E657">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276" w:type="dxa"/>
            <w:vAlign w:val="center"/>
          </w:tcPr>
          <w:p w14:paraId="290CE3C7">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2A9C7AF3">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940" w:type="dxa"/>
            <w:vAlign w:val="center"/>
          </w:tcPr>
          <w:p w14:paraId="75903C5F">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57006D4A">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044" w:type="dxa"/>
            <w:vAlign w:val="center"/>
          </w:tcPr>
          <w:p w14:paraId="501C03DB">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099AA654">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60A7330A">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487" w:type="dxa"/>
            <w:vAlign w:val="center"/>
          </w:tcPr>
          <w:p w14:paraId="0A066AD1">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09329687">
            <w:pPr>
              <w:spacing w:line="340" w:lineRule="exact"/>
              <w:jc w:val="center"/>
              <w:rPr>
                <w:rFonts w:ascii="宋体" w:hAnsi="宋体" w:cs="宋体"/>
                <w:color w:val="000000" w:themeColor="text1"/>
                <w:kern w:val="21"/>
                <w:szCs w:val="21"/>
                <w:highlight w:val="none"/>
                <w14:textFill>
                  <w14:solidFill>
                    <w14:schemeClr w14:val="tx1"/>
                  </w14:solidFill>
                </w14:textFill>
              </w:rPr>
            </w:pPr>
          </w:p>
        </w:tc>
      </w:tr>
      <w:tr w14:paraId="43F155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0041FE36">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276" w:type="dxa"/>
            <w:vAlign w:val="center"/>
          </w:tcPr>
          <w:p w14:paraId="490C88BD">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68C4FB99">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940" w:type="dxa"/>
            <w:vAlign w:val="center"/>
          </w:tcPr>
          <w:p w14:paraId="259DE9E9">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0A21100C">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044" w:type="dxa"/>
            <w:vAlign w:val="center"/>
          </w:tcPr>
          <w:p w14:paraId="4284EBD1">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7CCFDB39">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750901F4">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487" w:type="dxa"/>
            <w:vAlign w:val="center"/>
          </w:tcPr>
          <w:p w14:paraId="32864226">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5259304F">
            <w:pPr>
              <w:spacing w:line="340" w:lineRule="exact"/>
              <w:jc w:val="center"/>
              <w:rPr>
                <w:rFonts w:ascii="宋体" w:hAnsi="宋体" w:cs="宋体"/>
                <w:color w:val="000000" w:themeColor="text1"/>
                <w:kern w:val="21"/>
                <w:szCs w:val="21"/>
                <w:highlight w:val="none"/>
                <w14:textFill>
                  <w14:solidFill>
                    <w14:schemeClr w14:val="tx1"/>
                  </w14:solidFill>
                </w14:textFill>
              </w:rPr>
            </w:pPr>
          </w:p>
        </w:tc>
      </w:tr>
      <w:tr w14:paraId="1B85DD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64FDADC6">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276" w:type="dxa"/>
            <w:vAlign w:val="center"/>
          </w:tcPr>
          <w:p w14:paraId="748E7F7E">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239A9239">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940" w:type="dxa"/>
            <w:vAlign w:val="center"/>
          </w:tcPr>
          <w:p w14:paraId="7AA72688">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43BF050A">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044" w:type="dxa"/>
            <w:vAlign w:val="center"/>
          </w:tcPr>
          <w:p w14:paraId="2D1D4604">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6605A802">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3234EA8D">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487" w:type="dxa"/>
            <w:vAlign w:val="center"/>
          </w:tcPr>
          <w:p w14:paraId="447F8DCC">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6D48C441">
            <w:pPr>
              <w:spacing w:line="340" w:lineRule="exact"/>
              <w:jc w:val="center"/>
              <w:rPr>
                <w:rFonts w:ascii="宋体" w:hAnsi="宋体" w:cs="宋体"/>
                <w:color w:val="000000" w:themeColor="text1"/>
                <w:kern w:val="21"/>
                <w:szCs w:val="21"/>
                <w:highlight w:val="none"/>
                <w14:textFill>
                  <w14:solidFill>
                    <w14:schemeClr w14:val="tx1"/>
                  </w14:solidFill>
                </w14:textFill>
              </w:rPr>
            </w:pPr>
          </w:p>
        </w:tc>
      </w:tr>
      <w:tr w14:paraId="5B1025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7B1306DA">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276" w:type="dxa"/>
            <w:vAlign w:val="center"/>
          </w:tcPr>
          <w:p w14:paraId="7FAF8D3A">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790F7111">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940" w:type="dxa"/>
            <w:vAlign w:val="center"/>
          </w:tcPr>
          <w:p w14:paraId="2650BF31">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0640EAE4">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044" w:type="dxa"/>
            <w:vAlign w:val="center"/>
          </w:tcPr>
          <w:p w14:paraId="00F6A6A4">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2D0535F0">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0C46744C">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487" w:type="dxa"/>
            <w:vAlign w:val="center"/>
          </w:tcPr>
          <w:p w14:paraId="2EB749CC">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7EBE28BB">
            <w:pPr>
              <w:spacing w:line="340" w:lineRule="exact"/>
              <w:jc w:val="center"/>
              <w:rPr>
                <w:rFonts w:ascii="宋体" w:hAnsi="宋体" w:cs="宋体"/>
                <w:color w:val="000000" w:themeColor="text1"/>
                <w:kern w:val="21"/>
                <w:szCs w:val="21"/>
                <w:highlight w:val="none"/>
                <w14:textFill>
                  <w14:solidFill>
                    <w14:schemeClr w14:val="tx1"/>
                  </w14:solidFill>
                </w14:textFill>
              </w:rPr>
            </w:pPr>
          </w:p>
        </w:tc>
      </w:tr>
      <w:tr w14:paraId="201623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148FB38E">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276" w:type="dxa"/>
            <w:vAlign w:val="center"/>
          </w:tcPr>
          <w:p w14:paraId="0140A75C">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2B3BF72F">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940" w:type="dxa"/>
            <w:vAlign w:val="center"/>
          </w:tcPr>
          <w:p w14:paraId="2AE78F33">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2E9E2B77">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044" w:type="dxa"/>
            <w:vAlign w:val="center"/>
          </w:tcPr>
          <w:p w14:paraId="795192B1">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0F6D2B4E">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74620672">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487" w:type="dxa"/>
            <w:vAlign w:val="center"/>
          </w:tcPr>
          <w:p w14:paraId="53D09236">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1D64EBDA">
            <w:pPr>
              <w:spacing w:line="340" w:lineRule="exact"/>
              <w:jc w:val="center"/>
              <w:rPr>
                <w:rFonts w:ascii="宋体" w:hAnsi="宋体" w:cs="宋体"/>
                <w:color w:val="000000" w:themeColor="text1"/>
                <w:kern w:val="21"/>
                <w:szCs w:val="21"/>
                <w:highlight w:val="none"/>
                <w14:textFill>
                  <w14:solidFill>
                    <w14:schemeClr w14:val="tx1"/>
                  </w14:solidFill>
                </w14:textFill>
              </w:rPr>
            </w:pPr>
          </w:p>
        </w:tc>
      </w:tr>
      <w:tr w14:paraId="225AA5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491666AD">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276" w:type="dxa"/>
            <w:vAlign w:val="center"/>
          </w:tcPr>
          <w:p w14:paraId="5CAE9DD3">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23D17893">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940" w:type="dxa"/>
            <w:vAlign w:val="center"/>
          </w:tcPr>
          <w:p w14:paraId="22B202D1">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0DCAAFE0">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044" w:type="dxa"/>
            <w:vAlign w:val="center"/>
          </w:tcPr>
          <w:p w14:paraId="27B66319">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025C24DF">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851" w:type="dxa"/>
            <w:vAlign w:val="center"/>
          </w:tcPr>
          <w:p w14:paraId="5239E9E4">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1487" w:type="dxa"/>
            <w:vAlign w:val="center"/>
          </w:tcPr>
          <w:p w14:paraId="5DCC7C82">
            <w:pPr>
              <w:spacing w:line="340" w:lineRule="exact"/>
              <w:jc w:val="center"/>
              <w:rPr>
                <w:rFonts w:ascii="宋体" w:hAnsi="宋体" w:cs="宋体"/>
                <w:color w:val="000000" w:themeColor="text1"/>
                <w:kern w:val="21"/>
                <w:szCs w:val="21"/>
                <w:highlight w:val="none"/>
                <w14:textFill>
                  <w14:solidFill>
                    <w14:schemeClr w14:val="tx1"/>
                  </w14:solidFill>
                </w14:textFill>
              </w:rPr>
            </w:pPr>
          </w:p>
        </w:tc>
        <w:tc>
          <w:tcPr>
            <w:tcW w:w="992" w:type="dxa"/>
            <w:vAlign w:val="center"/>
          </w:tcPr>
          <w:p w14:paraId="09BA3A82">
            <w:pPr>
              <w:spacing w:line="340" w:lineRule="exact"/>
              <w:jc w:val="center"/>
              <w:rPr>
                <w:rFonts w:ascii="宋体" w:hAnsi="宋体" w:cs="宋体"/>
                <w:color w:val="000000" w:themeColor="text1"/>
                <w:kern w:val="21"/>
                <w:szCs w:val="21"/>
                <w:highlight w:val="none"/>
                <w14:textFill>
                  <w14:solidFill>
                    <w14:schemeClr w14:val="tx1"/>
                  </w14:solidFill>
                </w14:textFill>
              </w:rPr>
            </w:pPr>
          </w:p>
        </w:tc>
      </w:tr>
    </w:tbl>
    <w:p w14:paraId="4798ED77">
      <w:pPr>
        <w:spacing w:line="340" w:lineRule="exact"/>
        <w:rPr>
          <w:rFonts w:ascii="宋体" w:hAnsi="宋体" w:cs="宋体"/>
          <w:color w:val="000000" w:themeColor="text1"/>
          <w:kern w:val="21"/>
          <w:szCs w:val="21"/>
          <w:highlight w:val="none"/>
          <w14:textFill>
            <w14:solidFill>
              <w14:schemeClr w14:val="tx1"/>
            </w14:solidFill>
          </w14:textFill>
        </w:rPr>
      </w:pPr>
    </w:p>
    <w:p w14:paraId="1DE546FB">
      <w:pPr>
        <w:spacing w:line="340" w:lineRule="exact"/>
        <w:rPr>
          <w:rFonts w:ascii="宋体" w:hAnsi="宋体" w:cs="宋体"/>
          <w:color w:val="000000" w:themeColor="text1"/>
          <w:kern w:val="21"/>
          <w:szCs w:val="21"/>
          <w:highlight w:val="none"/>
          <w14:textFill>
            <w14:solidFill>
              <w14:schemeClr w14:val="tx1"/>
            </w14:solidFill>
          </w14:textFill>
        </w:rPr>
      </w:pPr>
    </w:p>
    <w:p w14:paraId="36F11420">
      <w:pPr>
        <w:spacing w:line="340" w:lineRule="exact"/>
        <w:rPr>
          <w:rFonts w:ascii="宋体" w:hAnsi="宋体" w:cs="宋体"/>
          <w:color w:val="000000" w:themeColor="text1"/>
          <w:kern w:val="21"/>
          <w:szCs w:val="21"/>
          <w:highlight w:val="none"/>
          <w14:textFill>
            <w14:solidFill>
              <w14:schemeClr w14:val="tx1"/>
            </w14:solidFill>
          </w14:textFill>
        </w:rPr>
      </w:pPr>
    </w:p>
    <w:p w14:paraId="4F11201F">
      <w:pPr>
        <w:spacing w:line="340" w:lineRule="exact"/>
        <w:rPr>
          <w:rFonts w:ascii="宋体" w:hAnsi="宋体" w:cs="宋体"/>
          <w:color w:val="000000" w:themeColor="text1"/>
          <w:kern w:val="21"/>
          <w:szCs w:val="21"/>
          <w:highlight w:val="none"/>
          <w14:textFill>
            <w14:solidFill>
              <w14:schemeClr w14:val="tx1"/>
            </w14:solidFill>
          </w14:textFill>
        </w:rPr>
      </w:pPr>
    </w:p>
    <w:p w14:paraId="5C3F65DC">
      <w:pPr>
        <w:spacing w:line="340" w:lineRule="exact"/>
        <w:rPr>
          <w:rFonts w:ascii="宋体" w:hAnsi="宋体" w:cs="宋体"/>
          <w:color w:val="000000" w:themeColor="text1"/>
          <w:kern w:val="21"/>
          <w:szCs w:val="21"/>
          <w:highlight w:val="none"/>
          <w14:textFill>
            <w14:solidFill>
              <w14:schemeClr w14:val="tx1"/>
            </w14:solidFill>
          </w14:textFill>
        </w:rPr>
      </w:pPr>
    </w:p>
    <w:p w14:paraId="05B5115B">
      <w:pPr>
        <w:spacing w:line="3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附</w:t>
      </w:r>
      <w:bookmarkStart w:id="594" w:name="_Toc296891266"/>
      <w:bookmarkStart w:id="595" w:name="_Toc267261693"/>
      <w:bookmarkStart w:id="596" w:name="_Toc296944565"/>
      <w:bookmarkStart w:id="597" w:name="_Toc296891054"/>
      <w:bookmarkStart w:id="598" w:name="_Toc296346727"/>
      <w:bookmarkStart w:id="599" w:name="_Toc296503226"/>
      <w:bookmarkStart w:id="600" w:name="_Toc296347225"/>
      <w:r>
        <w:rPr>
          <w:rFonts w:hint="eastAsia" w:ascii="宋体" w:hAnsi="宋体" w:cs="宋体"/>
          <w:color w:val="000000" w:themeColor="text1"/>
          <w:kern w:val="21"/>
          <w:szCs w:val="21"/>
          <w:highlight w:val="none"/>
          <w14:textFill>
            <w14:solidFill>
              <w14:schemeClr w14:val="tx1"/>
            </w14:solidFill>
          </w14:textFill>
        </w:rPr>
        <w:t>件3：</w:t>
      </w:r>
      <w:bookmarkEnd w:id="594"/>
      <w:bookmarkEnd w:id="595"/>
      <w:bookmarkEnd w:id="596"/>
      <w:bookmarkEnd w:id="597"/>
      <w:bookmarkEnd w:id="598"/>
      <w:bookmarkEnd w:id="599"/>
      <w:bookmarkEnd w:id="600"/>
      <w:r>
        <w:rPr>
          <w:rFonts w:hint="eastAsia" w:ascii="宋体" w:hAnsi="宋体" w:cs="宋体"/>
          <w:color w:val="000000" w:themeColor="text1"/>
          <w:kern w:val="21"/>
          <w:szCs w:val="21"/>
          <w:highlight w:val="none"/>
          <w14:textFill>
            <w14:solidFill>
              <w14:schemeClr w14:val="tx1"/>
            </w14:solidFill>
          </w14:textFill>
        </w:rPr>
        <w:t xml:space="preserve">    </w:t>
      </w:r>
    </w:p>
    <w:p w14:paraId="0AE15F9B">
      <w:pPr>
        <w:spacing w:before="156" w:beforeLines="50" w:after="156" w:afterLines="50" w:line="340" w:lineRule="exact"/>
        <w:jc w:val="center"/>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工程质量保修书</w:t>
      </w:r>
    </w:p>
    <w:p w14:paraId="5BF84728">
      <w:pPr>
        <w:spacing w:line="34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发包人（全称）：</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 xml:space="preserve"> </w:t>
      </w:r>
    </w:p>
    <w:p w14:paraId="0E259E55">
      <w:pPr>
        <w:spacing w:line="3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　　承包人（全称）：</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 xml:space="preserve"> </w:t>
      </w:r>
    </w:p>
    <w:p w14:paraId="744F9BD0">
      <w:pPr>
        <w:spacing w:line="440" w:lineRule="exact"/>
        <w:ind w:firstLine="480"/>
        <w:rPr>
          <w:rFonts w:hint="eastAsia"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　　发包人和承包人根据《中华人民共和国建筑法》和《建设工程质量管理条例》，经协商一致就</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签订工程质量保修书。</w:t>
      </w:r>
    </w:p>
    <w:p w14:paraId="3562244A">
      <w:pPr>
        <w:spacing w:line="440" w:lineRule="exact"/>
        <w:outlineLvl w:val="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　　</w:t>
      </w:r>
      <w:bookmarkStart w:id="601" w:name="_Toc23991"/>
      <w:r>
        <w:rPr>
          <w:rFonts w:hint="eastAsia" w:ascii="宋体" w:hAnsi="宋体" w:cs="宋体"/>
          <w:color w:val="000000" w:themeColor="text1"/>
          <w:kern w:val="21"/>
          <w:szCs w:val="21"/>
          <w:highlight w:val="none"/>
          <w14:textFill>
            <w14:solidFill>
              <w14:schemeClr w14:val="tx1"/>
            </w14:solidFill>
          </w14:textFill>
        </w:rPr>
        <w:t>一、工程质量保修范围和内容</w:t>
      </w:r>
      <w:bookmarkEnd w:id="601"/>
    </w:p>
    <w:p w14:paraId="1C476858">
      <w:pPr>
        <w:spacing w:line="4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　　承包人在质量保修期内，按照有关法律规定和合同约定，承担工程质量保修责任。</w:t>
      </w:r>
    </w:p>
    <w:p w14:paraId="0665E7DD">
      <w:pPr>
        <w:spacing w:line="440" w:lineRule="exact"/>
        <w:ind w:firstLine="48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1026A47">
      <w:pPr>
        <w:spacing w:line="440" w:lineRule="exact"/>
        <w:ind w:firstLine="480"/>
        <w:rPr>
          <w:rFonts w:ascii="宋体" w:hAnsi="宋体" w:cs="宋体"/>
          <w:b/>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u w:val="single"/>
          <w14:textFill>
            <w14:solidFill>
              <w14:schemeClr w14:val="tx1"/>
            </w14:solidFill>
          </w14:textFill>
        </w:rPr>
        <w:t xml:space="preserve">电气管线、给排水管道、设备安装工程2 年 </w:t>
      </w:r>
      <w:r>
        <w:rPr>
          <w:rFonts w:hint="eastAsia" w:ascii="宋体" w:hAnsi="宋体" w:cs="宋体"/>
          <w:b/>
          <w:color w:val="000000" w:themeColor="text1"/>
          <w:kern w:val="21"/>
          <w:szCs w:val="21"/>
          <w:highlight w:val="none"/>
          <w14:textFill>
            <w14:solidFill>
              <w14:schemeClr w14:val="tx1"/>
            </w14:solidFill>
          </w14:textFill>
        </w:rPr>
        <w:t>　　</w:t>
      </w:r>
    </w:p>
    <w:p w14:paraId="7573D8BB">
      <w:pPr>
        <w:spacing w:line="440" w:lineRule="exact"/>
        <w:ind w:firstLine="48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二、质量保修期</w:t>
      </w:r>
    </w:p>
    <w:p w14:paraId="20D501D0">
      <w:pPr>
        <w:spacing w:line="44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根据《建设工程质量管理条例》及有关规定，工程的质量保修期如下：</w:t>
      </w:r>
    </w:p>
    <w:p w14:paraId="3399D5E8">
      <w:pPr>
        <w:spacing w:line="440" w:lineRule="exact"/>
        <w:ind w:firstLine="630" w:firstLineChars="3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1．地基基础工程和主体结构工程为设计文件规定的工程合理使用年限；</w:t>
      </w:r>
    </w:p>
    <w:p w14:paraId="61B9FD60">
      <w:pPr>
        <w:spacing w:line="440" w:lineRule="exact"/>
        <w:ind w:firstLine="630" w:firstLineChars="3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2．屋面防水工程、有防水要求的卫生间、房间和外墙面的防渗为</w:t>
      </w:r>
      <w:r>
        <w:rPr>
          <w:rFonts w:hint="eastAsia" w:ascii="宋体" w:hAnsi="宋体" w:cs="宋体"/>
          <w:color w:val="000000" w:themeColor="text1"/>
          <w:kern w:val="21"/>
          <w:szCs w:val="21"/>
          <w:highlight w:val="none"/>
          <w:u w:val="single"/>
          <w14:textFill>
            <w14:solidFill>
              <w14:schemeClr w14:val="tx1"/>
            </w14:solidFill>
          </w14:textFill>
        </w:rPr>
        <w:t xml:space="preserve">   5   </w:t>
      </w:r>
      <w:r>
        <w:rPr>
          <w:rFonts w:hint="eastAsia" w:ascii="宋体" w:hAnsi="宋体" w:cs="宋体"/>
          <w:color w:val="000000" w:themeColor="text1"/>
          <w:kern w:val="21"/>
          <w:szCs w:val="21"/>
          <w:highlight w:val="none"/>
          <w14:textFill>
            <w14:solidFill>
              <w14:schemeClr w14:val="tx1"/>
            </w14:solidFill>
          </w14:textFill>
        </w:rPr>
        <w:t>年；</w:t>
      </w:r>
    </w:p>
    <w:p w14:paraId="273682B9">
      <w:pPr>
        <w:spacing w:line="440" w:lineRule="exact"/>
        <w:ind w:firstLine="630" w:firstLineChars="3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3．装修工程为</w:t>
      </w:r>
      <w:r>
        <w:rPr>
          <w:rFonts w:hint="eastAsia" w:ascii="宋体" w:hAnsi="宋体" w:cs="宋体"/>
          <w:color w:val="000000" w:themeColor="text1"/>
          <w:kern w:val="21"/>
          <w:szCs w:val="21"/>
          <w:highlight w:val="none"/>
          <w:u w:val="single"/>
          <w14:textFill>
            <w14:solidFill>
              <w14:schemeClr w14:val="tx1"/>
            </w14:solidFill>
          </w14:textFill>
        </w:rPr>
        <w:t xml:space="preserve">   2     </w:t>
      </w:r>
      <w:r>
        <w:rPr>
          <w:rFonts w:hint="eastAsia" w:ascii="宋体" w:hAnsi="宋体" w:cs="宋体"/>
          <w:color w:val="000000" w:themeColor="text1"/>
          <w:kern w:val="21"/>
          <w:szCs w:val="21"/>
          <w:highlight w:val="none"/>
          <w14:textFill>
            <w14:solidFill>
              <w14:schemeClr w14:val="tx1"/>
            </w14:solidFill>
          </w14:textFill>
        </w:rPr>
        <w:t>年；</w:t>
      </w:r>
    </w:p>
    <w:p w14:paraId="7A1F90B9">
      <w:pPr>
        <w:spacing w:line="440" w:lineRule="exact"/>
        <w:ind w:firstLine="630" w:firstLineChars="3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4．电气管线、给排水管道、设备安装工程为</w:t>
      </w:r>
      <w:r>
        <w:rPr>
          <w:rFonts w:hint="eastAsia" w:ascii="宋体" w:hAnsi="宋体" w:cs="宋体"/>
          <w:color w:val="000000" w:themeColor="text1"/>
          <w:kern w:val="21"/>
          <w:szCs w:val="21"/>
          <w:highlight w:val="none"/>
          <w:u w:val="single"/>
          <w14:textFill>
            <w14:solidFill>
              <w14:schemeClr w14:val="tx1"/>
            </w14:solidFill>
          </w14:textFill>
        </w:rPr>
        <w:t xml:space="preserve">   2  </w:t>
      </w:r>
      <w:r>
        <w:rPr>
          <w:rFonts w:hint="eastAsia" w:ascii="宋体" w:hAnsi="宋体" w:cs="宋体"/>
          <w:color w:val="000000" w:themeColor="text1"/>
          <w:kern w:val="21"/>
          <w:szCs w:val="21"/>
          <w:highlight w:val="none"/>
          <w14:textFill>
            <w14:solidFill>
              <w14:schemeClr w14:val="tx1"/>
            </w14:solidFill>
          </w14:textFill>
        </w:rPr>
        <w:t>年；</w:t>
      </w:r>
    </w:p>
    <w:p w14:paraId="0B26FD20">
      <w:pPr>
        <w:spacing w:line="440" w:lineRule="exact"/>
        <w:ind w:firstLine="630" w:firstLineChars="3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5．供热与供冷系统为</w:t>
      </w:r>
      <w:r>
        <w:rPr>
          <w:rFonts w:hint="eastAsia" w:ascii="宋体" w:hAnsi="宋体" w:cs="宋体"/>
          <w:color w:val="000000" w:themeColor="text1"/>
          <w:kern w:val="21"/>
          <w:szCs w:val="21"/>
          <w:highlight w:val="none"/>
          <w:u w:val="single"/>
          <w14:textFill>
            <w14:solidFill>
              <w14:schemeClr w14:val="tx1"/>
            </w14:solidFill>
          </w14:textFill>
        </w:rPr>
        <w:t xml:space="preserve">  2    </w:t>
      </w:r>
      <w:r>
        <w:rPr>
          <w:rFonts w:hint="eastAsia" w:ascii="宋体" w:hAnsi="宋体" w:cs="宋体"/>
          <w:color w:val="000000" w:themeColor="text1"/>
          <w:kern w:val="21"/>
          <w:szCs w:val="21"/>
          <w:highlight w:val="none"/>
          <w14:textFill>
            <w14:solidFill>
              <w14:schemeClr w14:val="tx1"/>
            </w14:solidFill>
          </w14:textFill>
        </w:rPr>
        <w:t>个采暖期、供冷期；</w:t>
      </w:r>
    </w:p>
    <w:p w14:paraId="1E52DCDC">
      <w:pPr>
        <w:spacing w:line="440" w:lineRule="exact"/>
        <w:ind w:firstLine="630" w:firstLineChars="3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6．住宅小区内的给排水设施、道路等配套工程为</w:t>
      </w:r>
      <w:r>
        <w:rPr>
          <w:rFonts w:hint="eastAsia" w:ascii="宋体" w:hAnsi="宋体" w:cs="宋体"/>
          <w:color w:val="000000" w:themeColor="text1"/>
          <w:kern w:val="21"/>
          <w:szCs w:val="21"/>
          <w:highlight w:val="none"/>
          <w:u w:val="single"/>
          <w14:textFill>
            <w14:solidFill>
              <w14:schemeClr w14:val="tx1"/>
            </w14:solidFill>
          </w14:textFill>
        </w:rPr>
        <w:t xml:space="preserve">   2   </w:t>
      </w:r>
      <w:r>
        <w:rPr>
          <w:rFonts w:hint="eastAsia" w:ascii="宋体" w:hAnsi="宋体" w:cs="宋体"/>
          <w:color w:val="000000" w:themeColor="text1"/>
          <w:kern w:val="21"/>
          <w:szCs w:val="21"/>
          <w:highlight w:val="none"/>
          <w14:textFill>
            <w14:solidFill>
              <w14:schemeClr w14:val="tx1"/>
            </w14:solidFill>
          </w14:textFill>
        </w:rPr>
        <w:t>年；</w:t>
      </w:r>
    </w:p>
    <w:p w14:paraId="6A10CB33">
      <w:pPr>
        <w:spacing w:line="440" w:lineRule="exact"/>
        <w:ind w:firstLine="630" w:firstLineChars="3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7．其他项目保修期限约定如下：</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p>
    <w:p w14:paraId="065049F0">
      <w:pPr>
        <w:spacing w:line="4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　　质量保修期自工程竣工验收合格之日起计算。</w:t>
      </w:r>
    </w:p>
    <w:p w14:paraId="330299E8">
      <w:pPr>
        <w:spacing w:line="440" w:lineRule="exact"/>
        <w:ind w:firstLine="420" w:firstLineChars="200"/>
        <w:outlineLvl w:val="0"/>
        <w:rPr>
          <w:rFonts w:ascii="宋体" w:hAnsi="宋体" w:cs="宋体"/>
          <w:color w:val="000000" w:themeColor="text1"/>
          <w:kern w:val="21"/>
          <w:szCs w:val="21"/>
          <w:highlight w:val="none"/>
          <w14:textFill>
            <w14:solidFill>
              <w14:schemeClr w14:val="tx1"/>
            </w14:solidFill>
          </w14:textFill>
        </w:rPr>
      </w:pPr>
      <w:bookmarkStart w:id="602" w:name="_Toc29990"/>
      <w:r>
        <w:rPr>
          <w:rFonts w:hint="eastAsia" w:ascii="宋体" w:hAnsi="宋体" w:cs="宋体"/>
          <w:color w:val="000000" w:themeColor="text1"/>
          <w:kern w:val="21"/>
          <w:szCs w:val="21"/>
          <w:highlight w:val="none"/>
          <w14:textFill>
            <w14:solidFill>
              <w14:schemeClr w14:val="tx1"/>
            </w14:solidFill>
          </w14:textFill>
        </w:rPr>
        <w:t>三、缺陷责任期</w:t>
      </w:r>
      <w:bookmarkEnd w:id="602"/>
    </w:p>
    <w:p w14:paraId="1CD3E8F2">
      <w:pPr>
        <w:spacing w:line="44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工程缺陷责任期为</w:t>
      </w:r>
      <w:r>
        <w:rPr>
          <w:rFonts w:hint="eastAsia" w:ascii="宋体" w:hAnsi="宋体" w:cs="宋体"/>
          <w:color w:val="000000" w:themeColor="text1"/>
          <w:kern w:val="21"/>
          <w:szCs w:val="21"/>
          <w:highlight w:val="none"/>
          <w:u w:val="single"/>
          <w14:textFill>
            <w14:solidFill>
              <w14:schemeClr w14:val="tx1"/>
            </w14:solidFill>
          </w14:textFill>
        </w:rPr>
        <w:t xml:space="preserve"> 24</w:t>
      </w:r>
      <w:r>
        <w:rPr>
          <w:rFonts w:hint="eastAsia" w:ascii="宋体" w:hAnsi="宋体" w:cs="宋体"/>
          <w:color w:val="000000" w:themeColor="text1"/>
          <w:kern w:val="21"/>
          <w:szCs w:val="21"/>
          <w:highlight w:val="none"/>
          <w14:textFill>
            <w14:solidFill>
              <w14:schemeClr w14:val="tx1"/>
            </w14:solidFill>
          </w14:textFill>
        </w:rPr>
        <w:t>个月，缺陷责任期自工程通过竣工验收之日起计算。单位工程先于全部工程进行验收，单位工程缺陷责任期自单位工程验收合格之日起算。</w:t>
      </w:r>
    </w:p>
    <w:p w14:paraId="5C2152F6">
      <w:pPr>
        <w:spacing w:line="44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缺陷责任期终止后，发包人应退还剩余的质量保证金。</w:t>
      </w:r>
    </w:p>
    <w:p w14:paraId="0FA9D21E">
      <w:pPr>
        <w:spacing w:line="440" w:lineRule="exact"/>
        <w:outlineLvl w:val="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 xml:space="preserve">    </w:t>
      </w:r>
      <w:bookmarkStart w:id="603" w:name="_Toc25520"/>
      <w:r>
        <w:rPr>
          <w:rFonts w:hint="eastAsia" w:ascii="宋体" w:hAnsi="宋体" w:cs="宋体"/>
          <w:color w:val="000000" w:themeColor="text1"/>
          <w:kern w:val="21"/>
          <w:szCs w:val="21"/>
          <w:highlight w:val="none"/>
          <w14:textFill>
            <w14:solidFill>
              <w14:schemeClr w14:val="tx1"/>
            </w14:solidFill>
          </w14:textFill>
        </w:rPr>
        <w:t>四、质量保修责任</w:t>
      </w:r>
      <w:bookmarkEnd w:id="603"/>
    </w:p>
    <w:p w14:paraId="706B326F">
      <w:pPr>
        <w:spacing w:line="440" w:lineRule="exact"/>
        <w:ind w:left="105" w:leftChars="50" w:firstLine="430" w:firstLineChars="205"/>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1．属于保修范围、内容的项目，承包人应当在接到保修通知之日起7天内派人保修。承包人不在约定期限内派人保修的，发包人可以委托他人修理。</w:t>
      </w:r>
    </w:p>
    <w:p w14:paraId="5050FD0A">
      <w:pPr>
        <w:spacing w:line="440" w:lineRule="exact"/>
        <w:ind w:left="105" w:leftChars="50" w:firstLine="430" w:firstLineChars="205"/>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2．发生紧急事故需抢修的，承包人在接到事故通知后，应当立即到达事故现场抢修。</w:t>
      </w:r>
    </w:p>
    <w:p w14:paraId="091D0A32">
      <w:pPr>
        <w:spacing w:line="440" w:lineRule="exact"/>
        <w:ind w:left="105" w:leftChars="50" w:firstLine="430" w:firstLineChars="205"/>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6BF9B28">
      <w:pPr>
        <w:spacing w:line="440" w:lineRule="exact"/>
        <w:ind w:left="420" w:leftChars="200" w:firstLine="105" w:firstLineChars="5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4．质量保修完成后，由发包人组织验收。</w:t>
      </w:r>
    </w:p>
    <w:p w14:paraId="57EE754B">
      <w:pPr>
        <w:spacing w:line="440" w:lineRule="exact"/>
        <w:outlineLvl w:val="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　　</w:t>
      </w:r>
      <w:bookmarkStart w:id="604" w:name="_Toc10178"/>
      <w:r>
        <w:rPr>
          <w:rFonts w:hint="eastAsia" w:ascii="宋体" w:hAnsi="宋体" w:cs="宋体"/>
          <w:color w:val="000000" w:themeColor="text1"/>
          <w:kern w:val="21"/>
          <w:szCs w:val="21"/>
          <w:highlight w:val="none"/>
          <w14:textFill>
            <w14:solidFill>
              <w14:schemeClr w14:val="tx1"/>
            </w14:solidFill>
          </w14:textFill>
        </w:rPr>
        <w:t>五、保修费用</w:t>
      </w:r>
      <w:bookmarkEnd w:id="604"/>
    </w:p>
    <w:p w14:paraId="618C9510">
      <w:pPr>
        <w:spacing w:line="4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　　保修费用由造成质量缺陷的责任方承担。</w:t>
      </w:r>
    </w:p>
    <w:p w14:paraId="4DECE036">
      <w:pPr>
        <w:spacing w:line="440" w:lineRule="exact"/>
        <w:ind w:firstLine="600"/>
        <w:jc w:val="left"/>
        <w:outlineLvl w:val="0"/>
        <w:rPr>
          <w:rFonts w:ascii="宋体" w:hAnsi="宋体" w:cs="宋体"/>
          <w:color w:val="000000" w:themeColor="text1"/>
          <w:kern w:val="21"/>
          <w:szCs w:val="21"/>
          <w:highlight w:val="none"/>
          <w14:textFill>
            <w14:solidFill>
              <w14:schemeClr w14:val="tx1"/>
            </w14:solidFill>
          </w14:textFill>
        </w:rPr>
      </w:pPr>
      <w:bookmarkStart w:id="605" w:name="_Toc25072"/>
      <w:r>
        <w:rPr>
          <w:rFonts w:hint="eastAsia" w:ascii="宋体" w:hAnsi="宋体" w:cs="宋体"/>
          <w:b/>
          <w:color w:val="000000" w:themeColor="text1"/>
          <w:kern w:val="21"/>
          <w:szCs w:val="21"/>
          <w:highlight w:val="none"/>
          <w14:textFill>
            <w14:solidFill>
              <w14:schemeClr w14:val="tx1"/>
            </w14:solidFill>
          </w14:textFill>
        </w:rPr>
        <w:t>六</w:t>
      </w:r>
      <w:r>
        <w:rPr>
          <w:rFonts w:hint="eastAsia" w:ascii="宋体" w:hAnsi="宋体" w:cs="宋体"/>
          <w:color w:val="000000" w:themeColor="text1"/>
          <w:kern w:val="21"/>
          <w:szCs w:val="21"/>
          <w:highlight w:val="none"/>
          <w14:textFill>
            <w14:solidFill>
              <w14:schemeClr w14:val="tx1"/>
            </w14:solidFill>
          </w14:textFill>
        </w:rPr>
        <w:t>、双方约定的其他工程质量保修事项：</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w:t>
      </w:r>
      <w:bookmarkEnd w:id="605"/>
    </w:p>
    <w:p w14:paraId="7E0995D4">
      <w:pPr>
        <w:spacing w:line="440" w:lineRule="exact"/>
        <w:ind w:firstLine="399" w:firstLineChars="19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工程质量保修书由发包人、承包人在工程竣工验收前共同签署，作为施工合同附件，其有效期限至保修期满。</w:t>
      </w:r>
    </w:p>
    <w:p w14:paraId="3AC61E5B">
      <w:pPr>
        <w:spacing w:line="440" w:lineRule="exact"/>
        <w:ind w:firstLine="420"/>
        <w:rPr>
          <w:rFonts w:ascii="宋体" w:hAnsi="宋体" w:cs="宋体"/>
          <w:color w:val="000000" w:themeColor="text1"/>
          <w:kern w:val="21"/>
          <w:szCs w:val="21"/>
          <w:highlight w:val="none"/>
          <w14:textFill>
            <w14:solidFill>
              <w14:schemeClr w14:val="tx1"/>
            </w14:solidFill>
          </w14:textFill>
        </w:rPr>
      </w:pPr>
    </w:p>
    <w:p w14:paraId="5C6558E0">
      <w:pPr>
        <w:spacing w:line="4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发包人(公章)：</w:t>
      </w:r>
      <w:r>
        <w:rPr>
          <w:rFonts w:hint="eastAsia" w:ascii="宋体" w:hAnsi="宋体" w:cs="宋体"/>
          <w:color w:val="000000" w:themeColor="text1"/>
          <w:kern w:val="21"/>
          <w:szCs w:val="21"/>
          <w:highlight w:val="none"/>
          <w:u w:val="single"/>
          <w14:textFill>
            <w14:solidFill>
              <w14:schemeClr w14:val="tx1"/>
            </w14:solidFill>
          </w14:textFill>
        </w:rPr>
        <w:t xml:space="preserve">        </w:t>
      </w:r>
      <w:r>
        <w:rPr>
          <w:rFonts w:hint="eastAsia" w:ascii="宋体" w:hAnsi="宋体" w:cs="宋体"/>
          <w:color w:val="000000" w:themeColor="text1"/>
          <w:kern w:val="21"/>
          <w:szCs w:val="21"/>
          <w:highlight w:val="none"/>
          <w14:textFill>
            <w14:solidFill>
              <w14:schemeClr w14:val="tx1"/>
            </w14:solidFill>
          </w14:textFill>
        </w:rPr>
        <w:t xml:space="preserve"> 承包人(公章)：</w:t>
      </w:r>
      <w:r>
        <w:rPr>
          <w:rFonts w:hint="eastAsia" w:ascii="宋体" w:hAnsi="宋体" w:cs="宋体"/>
          <w:color w:val="000000" w:themeColor="text1"/>
          <w:kern w:val="21"/>
          <w:szCs w:val="21"/>
          <w:highlight w:val="none"/>
          <w:u w:val="single"/>
          <w14:textFill>
            <w14:solidFill>
              <w14:schemeClr w14:val="tx1"/>
            </w14:solidFill>
          </w14:textFill>
        </w:rPr>
        <w:t xml:space="preserve">           </w:t>
      </w:r>
    </w:p>
    <w:p w14:paraId="4274DA9C">
      <w:pPr>
        <w:spacing w:line="4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地  址：</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 xml:space="preserve"> 地  址：</w:t>
      </w:r>
      <w:r>
        <w:rPr>
          <w:rFonts w:hint="eastAsia" w:ascii="宋体" w:hAnsi="宋体" w:cs="宋体"/>
          <w:color w:val="000000" w:themeColor="text1"/>
          <w:kern w:val="21"/>
          <w:szCs w:val="21"/>
          <w:highlight w:val="none"/>
          <w:u w:val="single"/>
          <w14:textFill>
            <w14:solidFill>
              <w14:schemeClr w14:val="tx1"/>
            </w14:solidFill>
          </w14:textFill>
        </w:rPr>
        <w:t xml:space="preserve">       </w:t>
      </w:r>
    </w:p>
    <w:p w14:paraId="1DAA5B93">
      <w:pPr>
        <w:spacing w:line="4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法定代表人(签字)：</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 xml:space="preserve"> 法定代表人(签字)：</w:t>
      </w:r>
      <w:r>
        <w:rPr>
          <w:rFonts w:hint="eastAsia" w:ascii="宋体" w:hAnsi="宋体" w:cs="宋体"/>
          <w:color w:val="000000" w:themeColor="text1"/>
          <w:kern w:val="21"/>
          <w:szCs w:val="21"/>
          <w:highlight w:val="none"/>
          <w:u w:val="single"/>
          <w14:textFill>
            <w14:solidFill>
              <w14:schemeClr w14:val="tx1"/>
            </w14:solidFill>
          </w14:textFill>
        </w:rPr>
        <w:t xml:space="preserve">       </w:t>
      </w:r>
    </w:p>
    <w:p w14:paraId="6266A4EB">
      <w:pPr>
        <w:spacing w:line="4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委托代理人(签字)：</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 xml:space="preserve"> 委托代理人(签字)：</w:t>
      </w:r>
      <w:r>
        <w:rPr>
          <w:rFonts w:hint="eastAsia" w:ascii="宋体" w:hAnsi="宋体" w:cs="宋体"/>
          <w:color w:val="000000" w:themeColor="text1"/>
          <w:kern w:val="21"/>
          <w:szCs w:val="21"/>
          <w:highlight w:val="none"/>
          <w:u w:val="single"/>
          <w14:textFill>
            <w14:solidFill>
              <w14:schemeClr w14:val="tx1"/>
            </w14:solidFill>
          </w14:textFill>
        </w:rPr>
        <w:t xml:space="preserve">       </w:t>
      </w:r>
    </w:p>
    <w:p w14:paraId="3245D3A0">
      <w:pPr>
        <w:spacing w:line="4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电  话：</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 xml:space="preserve"> 电  话：</w:t>
      </w:r>
      <w:r>
        <w:rPr>
          <w:rFonts w:hint="eastAsia" w:ascii="宋体" w:hAnsi="宋体" w:cs="宋体"/>
          <w:color w:val="000000" w:themeColor="text1"/>
          <w:kern w:val="21"/>
          <w:szCs w:val="21"/>
          <w:highlight w:val="none"/>
          <w:u w:val="single"/>
          <w14:textFill>
            <w14:solidFill>
              <w14:schemeClr w14:val="tx1"/>
            </w14:solidFill>
          </w14:textFill>
        </w:rPr>
        <w:t xml:space="preserve">     </w:t>
      </w:r>
    </w:p>
    <w:p w14:paraId="3F00D524">
      <w:pPr>
        <w:spacing w:line="4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传  真：</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 xml:space="preserve"> 传  真：</w:t>
      </w:r>
      <w:r>
        <w:rPr>
          <w:rFonts w:hint="eastAsia" w:ascii="宋体" w:hAnsi="宋体" w:cs="宋体"/>
          <w:color w:val="000000" w:themeColor="text1"/>
          <w:kern w:val="21"/>
          <w:szCs w:val="21"/>
          <w:highlight w:val="none"/>
          <w:u w:val="single"/>
          <w14:textFill>
            <w14:solidFill>
              <w14:schemeClr w14:val="tx1"/>
            </w14:solidFill>
          </w14:textFill>
        </w:rPr>
        <w:t xml:space="preserve">     </w:t>
      </w:r>
    </w:p>
    <w:p w14:paraId="0328A60E">
      <w:pPr>
        <w:spacing w:line="4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开户银行：</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 xml:space="preserve"> 开户银行：</w:t>
      </w:r>
      <w:r>
        <w:rPr>
          <w:rFonts w:hint="eastAsia" w:ascii="宋体" w:hAnsi="宋体" w:cs="宋体"/>
          <w:color w:val="000000" w:themeColor="text1"/>
          <w:kern w:val="21"/>
          <w:szCs w:val="21"/>
          <w:highlight w:val="none"/>
          <w:u w:val="single"/>
          <w14:textFill>
            <w14:solidFill>
              <w14:schemeClr w14:val="tx1"/>
            </w14:solidFill>
          </w14:textFill>
        </w:rPr>
        <w:t xml:space="preserve">   </w:t>
      </w:r>
    </w:p>
    <w:p w14:paraId="3A5BC5EF">
      <w:pPr>
        <w:spacing w:line="4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账  号：</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 xml:space="preserve">  账  号：</w:t>
      </w:r>
      <w:r>
        <w:rPr>
          <w:rFonts w:hint="eastAsia" w:ascii="宋体" w:hAnsi="宋体" w:cs="宋体"/>
          <w:color w:val="000000" w:themeColor="text1"/>
          <w:kern w:val="21"/>
          <w:szCs w:val="21"/>
          <w:highlight w:val="none"/>
          <w:u w:val="single"/>
          <w14:textFill>
            <w14:solidFill>
              <w14:schemeClr w14:val="tx1"/>
            </w14:solidFill>
          </w14:textFill>
        </w:rPr>
        <w:t xml:space="preserve">     </w:t>
      </w:r>
    </w:p>
    <w:p w14:paraId="1B78C576">
      <w:pPr>
        <w:spacing w:line="4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邮政编码：</w:t>
      </w:r>
      <w:r>
        <w:rPr>
          <w:rFonts w:hint="eastAsia" w:ascii="宋体" w:hAnsi="宋体" w:cs="宋体"/>
          <w:color w:val="000000" w:themeColor="text1"/>
          <w:kern w:val="21"/>
          <w:szCs w:val="21"/>
          <w:highlight w:val="none"/>
          <w:u w:val="single"/>
          <w14:textFill>
            <w14:solidFill>
              <w14:schemeClr w14:val="tx1"/>
            </w14:solidFill>
          </w14:textFill>
        </w:rPr>
        <w:t xml:space="preserve">     </w:t>
      </w:r>
      <w:r>
        <w:rPr>
          <w:rFonts w:hint="eastAsia" w:ascii="宋体" w:hAnsi="宋体" w:cs="宋体"/>
          <w:color w:val="000000" w:themeColor="text1"/>
          <w:kern w:val="21"/>
          <w:szCs w:val="21"/>
          <w:highlight w:val="none"/>
          <w14:textFill>
            <w14:solidFill>
              <w14:schemeClr w14:val="tx1"/>
            </w14:solidFill>
          </w14:textFill>
        </w:rPr>
        <w:t xml:space="preserve"> 邮政编码：</w:t>
      </w:r>
      <w:r>
        <w:rPr>
          <w:rFonts w:hint="eastAsia" w:ascii="宋体" w:hAnsi="宋体" w:cs="宋体"/>
          <w:color w:val="000000" w:themeColor="text1"/>
          <w:kern w:val="21"/>
          <w:szCs w:val="21"/>
          <w:highlight w:val="none"/>
          <w:u w:val="single"/>
          <w14:textFill>
            <w14:solidFill>
              <w14:schemeClr w14:val="tx1"/>
            </w14:solidFill>
          </w14:textFill>
        </w:rPr>
        <w:t xml:space="preserve">   </w:t>
      </w:r>
    </w:p>
    <w:p w14:paraId="4F093F77">
      <w:pPr>
        <w:spacing w:line="3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b/>
          <w:color w:val="000000" w:themeColor="text1"/>
          <w:kern w:val="21"/>
          <w:szCs w:val="21"/>
          <w:highlight w:val="none"/>
          <w14:textFill>
            <w14:solidFill>
              <w14:schemeClr w14:val="tx1"/>
            </w14:solidFill>
          </w14:textFill>
        </w:rPr>
        <w:br w:type="page"/>
      </w:r>
      <w:r>
        <w:rPr>
          <w:rFonts w:hint="eastAsia" w:ascii="宋体" w:hAnsi="宋体" w:cs="宋体"/>
          <w:color w:val="000000" w:themeColor="text1"/>
          <w:kern w:val="21"/>
          <w:szCs w:val="21"/>
          <w:highlight w:val="none"/>
          <w14:textFill>
            <w14:solidFill>
              <w14:schemeClr w14:val="tx1"/>
            </w14:solidFill>
          </w14:textFill>
        </w:rPr>
        <w:t>附件4：</w:t>
      </w:r>
    </w:p>
    <w:p w14:paraId="624AF4DC">
      <w:pPr>
        <w:spacing w:before="156" w:beforeLines="50" w:after="156" w:afterLines="50" w:line="340" w:lineRule="exact"/>
        <w:jc w:val="center"/>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主要建设工程文件目录</w:t>
      </w:r>
    </w:p>
    <w:tbl>
      <w:tblPr>
        <w:tblStyle w:val="7"/>
        <w:tblW w:w="90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5B2E73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vAlign w:val="center"/>
          </w:tcPr>
          <w:p w14:paraId="6A16DC2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文件名称</w:t>
            </w:r>
          </w:p>
        </w:tc>
        <w:tc>
          <w:tcPr>
            <w:tcW w:w="1276" w:type="dxa"/>
            <w:tcBorders>
              <w:top w:val="single" w:color="auto" w:sz="12" w:space="0"/>
              <w:bottom w:val="double" w:color="auto" w:sz="6" w:space="0"/>
            </w:tcBorders>
            <w:vAlign w:val="center"/>
          </w:tcPr>
          <w:p w14:paraId="44E97BC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套数</w:t>
            </w:r>
          </w:p>
        </w:tc>
        <w:tc>
          <w:tcPr>
            <w:tcW w:w="1450" w:type="dxa"/>
            <w:tcBorders>
              <w:top w:val="single" w:color="auto" w:sz="12" w:space="0"/>
              <w:bottom w:val="double" w:color="auto" w:sz="6" w:space="0"/>
            </w:tcBorders>
            <w:vAlign w:val="center"/>
          </w:tcPr>
          <w:p w14:paraId="5AE482E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费用（元）</w:t>
            </w:r>
          </w:p>
        </w:tc>
        <w:tc>
          <w:tcPr>
            <w:tcW w:w="1243" w:type="dxa"/>
            <w:tcBorders>
              <w:top w:val="single" w:color="auto" w:sz="12" w:space="0"/>
              <w:bottom w:val="double" w:color="auto" w:sz="6" w:space="0"/>
            </w:tcBorders>
            <w:vAlign w:val="center"/>
          </w:tcPr>
          <w:p w14:paraId="7C09F8E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质量</w:t>
            </w:r>
          </w:p>
        </w:tc>
        <w:tc>
          <w:tcPr>
            <w:tcW w:w="1450" w:type="dxa"/>
            <w:tcBorders>
              <w:top w:val="single" w:color="auto" w:sz="12" w:space="0"/>
              <w:bottom w:val="double" w:color="auto" w:sz="6" w:space="0"/>
            </w:tcBorders>
          </w:tcPr>
          <w:p w14:paraId="21C53AA4">
            <w:pPr>
              <w:spacing w:line="340" w:lineRule="exact"/>
              <w:jc w:val="center"/>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移交时间</w:t>
            </w:r>
          </w:p>
        </w:tc>
        <w:tc>
          <w:tcPr>
            <w:tcW w:w="1667" w:type="dxa"/>
            <w:tcBorders>
              <w:top w:val="single" w:color="auto" w:sz="12" w:space="0"/>
              <w:bottom w:val="double" w:color="auto" w:sz="6" w:space="0"/>
            </w:tcBorders>
          </w:tcPr>
          <w:p w14:paraId="3B6E1254">
            <w:pPr>
              <w:spacing w:line="340" w:lineRule="exact"/>
              <w:jc w:val="center"/>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责任人</w:t>
            </w:r>
          </w:p>
        </w:tc>
      </w:tr>
      <w:tr w14:paraId="1397EC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vAlign w:val="center"/>
          </w:tcPr>
          <w:p w14:paraId="59FF633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276" w:type="dxa"/>
            <w:tcBorders>
              <w:top w:val="double" w:color="auto" w:sz="6" w:space="0"/>
              <w:bottom w:val="single" w:color="auto" w:sz="6" w:space="0"/>
            </w:tcBorders>
            <w:vAlign w:val="center"/>
          </w:tcPr>
          <w:p w14:paraId="72F228F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50" w:type="dxa"/>
            <w:tcBorders>
              <w:top w:val="double" w:color="auto" w:sz="6" w:space="0"/>
              <w:bottom w:val="single" w:color="auto" w:sz="6" w:space="0"/>
            </w:tcBorders>
            <w:vAlign w:val="center"/>
          </w:tcPr>
          <w:p w14:paraId="068FE06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243" w:type="dxa"/>
            <w:tcBorders>
              <w:top w:val="double" w:color="auto" w:sz="6" w:space="0"/>
              <w:bottom w:val="single" w:color="auto" w:sz="6" w:space="0"/>
            </w:tcBorders>
            <w:vAlign w:val="center"/>
          </w:tcPr>
          <w:p w14:paraId="7283075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50" w:type="dxa"/>
            <w:tcBorders>
              <w:top w:val="double" w:color="auto" w:sz="6" w:space="0"/>
              <w:bottom w:val="single" w:color="auto" w:sz="6" w:space="0"/>
            </w:tcBorders>
            <w:vAlign w:val="center"/>
          </w:tcPr>
          <w:p w14:paraId="192927F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667" w:type="dxa"/>
            <w:tcBorders>
              <w:top w:val="double" w:color="auto" w:sz="6" w:space="0"/>
              <w:bottom w:val="single" w:color="auto" w:sz="6" w:space="0"/>
            </w:tcBorders>
            <w:vAlign w:val="center"/>
          </w:tcPr>
          <w:p w14:paraId="6011BDA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68374F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vAlign w:val="center"/>
          </w:tcPr>
          <w:p w14:paraId="4833EA2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276" w:type="dxa"/>
            <w:tcBorders>
              <w:top w:val="nil"/>
            </w:tcBorders>
            <w:vAlign w:val="center"/>
          </w:tcPr>
          <w:p w14:paraId="6957206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50" w:type="dxa"/>
            <w:tcBorders>
              <w:top w:val="nil"/>
            </w:tcBorders>
            <w:vAlign w:val="center"/>
          </w:tcPr>
          <w:p w14:paraId="42BF97D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243" w:type="dxa"/>
            <w:tcBorders>
              <w:top w:val="nil"/>
            </w:tcBorders>
            <w:vAlign w:val="center"/>
          </w:tcPr>
          <w:p w14:paraId="287FD71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50" w:type="dxa"/>
            <w:tcBorders>
              <w:top w:val="nil"/>
            </w:tcBorders>
            <w:vAlign w:val="center"/>
          </w:tcPr>
          <w:p w14:paraId="7917F9F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667" w:type="dxa"/>
            <w:tcBorders>
              <w:top w:val="nil"/>
            </w:tcBorders>
            <w:vAlign w:val="center"/>
          </w:tcPr>
          <w:p w14:paraId="117D41A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629BD7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582733F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276" w:type="dxa"/>
            <w:vAlign w:val="center"/>
          </w:tcPr>
          <w:p w14:paraId="26BB596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50" w:type="dxa"/>
            <w:vAlign w:val="center"/>
          </w:tcPr>
          <w:p w14:paraId="6EE3FF2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243" w:type="dxa"/>
            <w:vAlign w:val="center"/>
          </w:tcPr>
          <w:p w14:paraId="225D56F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50" w:type="dxa"/>
            <w:vAlign w:val="center"/>
          </w:tcPr>
          <w:p w14:paraId="7E32818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667" w:type="dxa"/>
            <w:vAlign w:val="center"/>
          </w:tcPr>
          <w:p w14:paraId="1ABF21D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681B5D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5D3D2D1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276" w:type="dxa"/>
            <w:vAlign w:val="center"/>
          </w:tcPr>
          <w:p w14:paraId="5992B88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50" w:type="dxa"/>
            <w:vAlign w:val="center"/>
          </w:tcPr>
          <w:p w14:paraId="2F829F0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243" w:type="dxa"/>
            <w:vAlign w:val="center"/>
          </w:tcPr>
          <w:p w14:paraId="2CFC8FE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50" w:type="dxa"/>
            <w:vAlign w:val="center"/>
          </w:tcPr>
          <w:p w14:paraId="16EFDFB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667" w:type="dxa"/>
            <w:vAlign w:val="center"/>
          </w:tcPr>
          <w:p w14:paraId="4A96745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1BF26B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0D91629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276" w:type="dxa"/>
            <w:vAlign w:val="center"/>
          </w:tcPr>
          <w:p w14:paraId="27BBD5B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50" w:type="dxa"/>
            <w:vAlign w:val="center"/>
          </w:tcPr>
          <w:p w14:paraId="738817C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243" w:type="dxa"/>
            <w:vAlign w:val="center"/>
          </w:tcPr>
          <w:p w14:paraId="3C9E936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50" w:type="dxa"/>
            <w:vAlign w:val="center"/>
          </w:tcPr>
          <w:p w14:paraId="3623068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667" w:type="dxa"/>
            <w:vAlign w:val="center"/>
          </w:tcPr>
          <w:p w14:paraId="6B5DF06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36F7F2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3759AF4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276" w:type="dxa"/>
            <w:vAlign w:val="center"/>
          </w:tcPr>
          <w:p w14:paraId="7FD65EE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50" w:type="dxa"/>
            <w:vAlign w:val="center"/>
          </w:tcPr>
          <w:p w14:paraId="0A239CA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243" w:type="dxa"/>
            <w:vAlign w:val="center"/>
          </w:tcPr>
          <w:p w14:paraId="14E7E0E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50" w:type="dxa"/>
            <w:vAlign w:val="center"/>
          </w:tcPr>
          <w:p w14:paraId="1168B27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667" w:type="dxa"/>
            <w:vAlign w:val="center"/>
          </w:tcPr>
          <w:p w14:paraId="157083B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03C67D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6DAB1F2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276" w:type="dxa"/>
            <w:vAlign w:val="center"/>
          </w:tcPr>
          <w:p w14:paraId="6DA41A2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50" w:type="dxa"/>
            <w:vAlign w:val="center"/>
          </w:tcPr>
          <w:p w14:paraId="0581509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243" w:type="dxa"/>
            <w:vAlign w:val="center"/>
          </w:tcPr>
          <w:p w14:paraId="2A8462D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50" w:type="dxa"/>
            <w:vAlign w:val="center"/>
          </w:tcPr>
          <w:p w14:paraId="5D9E503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667" w:type="dxa"/>
            <w:vAlign w:val="center"/>
          </w:tcPr>
          <w:p w14:paraId="7DE60CA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5E015E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1DCC3D5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276" w:type="dxa"/>
            <w:vAlign w:val="center"/>
          </w:tcPr>
          <w:p w14:paraId="4D63775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50" w:type="dxa"/>
            <w:vAlign w:val="center"/>
          </w:tcPr>
          <w:p w14:paraId="41111F7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243" w:type="dxa"/>
            <w:vAlign w:val="center"/>
          </w:tcPr>
          <w:p w14:paraId="55AEF64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50" w:type="dxa"/>
            <w:vAlign w:val="center"/>
          </w:tcPr>
          <w:p w14:paraId="1951ED8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667" w:type="dxa"/>
            <w:vAlign w:val="center"/>
          </w:tcPr>
          <w:p w14:paraId="75D647D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2CA84A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2FF8F456">
            <w:pPr>
              <w:spacing w:line="340" w:lineRule="exact"/>
              <w:rPr>
                <w:rFonts w:ascii="宋体" w:hAnsi="宋体" w:cs="宋体"/>
                <w:color w:val="000000" w:themeColor="text1"/>
                <w:kern w:val="21"/>
                <w:szCs w:val="21"/>
                <w:highlight w:val="none"/>
                <w14:textFill>
                  <w14:solidFill>
                    <w14:schemeClr w14:val="tx1"/>
                  </w14:solidFill>
                </w14:textFill>
              </w:rPr>
            </w:pPr>
          </w:p>
        </w:tc>
        <w:tc>
          <w:tcPr>
            <w:tcW w:w="1276" w:type="dxa"/>
          </w:tcPr>
          <w:p w14:paraId="18C9E1D7">
            <w:pPr>
              <w:spacing w:line="340" w:lineRule="exact"/>
              <w:rPr>
                <w:rFonts w:ascii="宋体" w:hAnsi="宋体" w:cs="宋体"/>
                <w:color w:val="000000" w:themeColor="text1"/>
                <w:kern w:val="21"/>
                <w:szCs w:val="21"/>
                <w:highlight w:val="none"/>
                <w14:textFill>
                  <w14:solidFill>
                    <w14:schemeClr w14:val="tx1"/>
                  </w14:solidFill>
                </w14:textFill>
              </w:rPr>
            </w:pPr>
          </w:p>
        </w:tc>
        <w:tc>
          <w:tcPr>
            <w:tcW w:w="1450" w:type="dxa"/>
          </w:tcPr>
          <w:p w14:paraId="20379CC5">
            <w:pPr>
              <w:spacing w:line="340" w:lineRule="exact"/>
              <w:rPr>
                <w:rFonts w:ascii="宋体" w:hAnsi="宋体" w:cs="宋体"/>
                <w:color w:val="000000" w:themeColor="text1"/>
                <w:kern w:val="21"/>
                <w:szCs w:val="21"/>
                <w:highlight w:val="none"/>
                <w14:textFill>
                  <w14:solidFill>
                    <w14:schemeClr w14:val="tx1"/>
                  </w14:solidFill>
                </w14:textFill>
              </w:rPr>
            </w:pPr>
          </w:p>
        </w:tc>
        <w:tc>
          <w:tcPr>
            <w:tcW w:w="1243" w:type="dxa"/>
          </w:tcPr>
          <w:p w14:paraId="0A8B8B93">
            <w:pPr>
              <w:spacing w:line="340" w:lineRule="exact"/>
              <w:rPr>
                <w:rFonts w:ascii="宋体" w:hAnsi="宋体" w:cs="宋体"/>
                <w:color w:val="000000" w:themeColor="text1"/>
                <w:kern w:val="21"/>
                <w:szCs w:val="21"/>
                <w:highlight w:val="none"/>
                <w14:textFill>
                  <w14:solidFill>
                    <w14:schemeClr w14:val="tx1"/>
                  </w14:solidFill>
                </w14:textFill>
              </w:rPr>
            </w:pPr>
          </w:p>
        </w:tc>
        <w:tc>
          <w:tcPr>
            <w:tcW w:w="1450" w:type="dxa"/>
          </w:tcPr>
          <w:p w14:paraId="6A61D6AB">
            <w:pPr>
              <w:spacing w:line="340" w:lineRule="exact"/>
              <w:rPr>
                <w:rFonts w:ascii="宋体" w:hAnsi="宋体" w:cs="宋体"/>
                <w:color w:val="000000" w:themeColor="text1"/>
                <w:kern w:val="21"/>
                <w:szCs w:val="21"/>
                <w:highlight w:val="none"/>
                <w14:textFill>
                  <w14:solidFill>
                    <w14:schemeClr w14:val="tx1"/>
                  </w14:solidFill>
                </w14:textFill>
              </w:rPr>
            </w:pPr>
          </w:p>
        </w:tc>
        <w:tc>
          <w:tcPr>
            <w:tcW w:w="1667" w:type="dxa"/>
          </w:tcPr>
          <w:p w14:paraId="27AE5EDA">
            <w:pPr>
              <w:spacing w:line="340" w:lineRule="exact"/>
              <w:rPr>
                <w:rFonts w:ascii="宋体" w:hAnsi="宋体" w:cs="宋体"/>
                <w:color w:val="000000" w:themeColor="text1"/>
                <w:kern w:val="21"/>
                <w:szCs w:val="21"/>
                <w:highlight w:val="none"/>
                <w14:textFill>
                  <w14:solidFill>
                    <w14:schemeClr w14:val="tx1"/>
                  </w14:solidFill>
                </w14:textFill>
              </w:rPr>
            </w:pPr>
          </w:p>
        </w:tc>
      </w:tr>
      <w:tr w14:paraId="2A44EF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009E875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276" w:type="dxa"/>
            <w:vAlign w:val="center"/>
          </w:tcPr>
          <w:p w14:paraId="5DFFD96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50" w:type="dxa"/>
            <w:vAlign w:val="center"/>
          </w:tcPr>
          <w:p w14:paraId="5B3C16B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243" w:type="dxa"/>
            <w:vAlign w:val="center"/>
          </w:tcPr>
          <w:p w14:paraId="52C9C9C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50" w:type="dxa"/>
            <w:vAlign w:val="center"/>
          </w:tcPr>
          <w:p w14:paraId="0EEA571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667" w:type="dxa"/>
            <w:vAlign w:val="center"/>
          </w:tcPr>
          <w:p w14:paraId="2B8AFB0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20769D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22FD4228">
            <w:pPr>
              <w:spacing w:line="340" w:lineRule="exact"/>
              <w:rPr>
                <w:rFonts w:ascii="宋体" w:hAnsi="宋体" w:cs="宋体"/>
                <w:color w:val="000000" w:themeColor="text1"/>
                <w:kern w:val="21"/>
                <w:szCs w:val="21"/>
                <w:highlight w:val="none"/>
                <w14:textFill>
                  <w14:solidFill>
                    <w14:schemeClr w14:val="tx1"/>
                  </w14:solidFill>
                </w14:textFill>
              </w:rPr>
            </w:pPr>
          </w:p>
        </w:tc>
        <w:tc>
          <w:tcPr>
            <w:tcW w:w="1276" w:type="dxa"/>
          </w:tcPr>
          <w:p w14:paraId="44DD09DA">
            <w:pPr>
              <w:spacing w:line="340" w:lineRule="exact"/>
              <w:rPr>
                <w:rFonts w:ascii="宋体" w:hAnsi="宋体" w:cs="宋体"/>
                <w:color w:val="000000" w:themeColor="text1"/>
                <w:kern w:val="21"/>
                <w:szCs w:val="21"/>
                <w:highlight w:val="none"/>
                <w14:textFill>
                  <w14:solidFill>
                    <w14:schemeClr w14:val="tx1"/>
                  </w14:solidFill>
                </w14:textFill>
              </w:rPr>
            </w:pPr>
          </w:p>
        </w:tc>
        <w:tc>
          <w:tcPr>
            <w:tcW w:w="1450" w:type="dxa"/>
          </w:tcPr>
          <w:p w14:paraId="00DDAC26">
            <w:pPr>
              <w:spacing w:line="340" w:lineRule="exact"/>
              <w:rPr>
                <w:rFonts w:ascii="宋体" w:hAnsi="宋体" w:cs="宋体"/>
                <w:color w:val="000000" w:themeColor="text1"/>
                <w:kern w:val="21"/>
                <w:szCs w:val="21"/>
                <w:highlight w:val="none"/>
                <w14:textFill>
                  <w14:solidFill>
                    <w14:schemeClr w14:val="tx1"/>
                  </w14:solidFill>
                </w14:textFill>
              </w:rPr>
            </w:pPr>
          </w:p>
        </w:tc>
        <w:tc>
          <w:tcPr>
            <w:tcW w:w="1243" w:type="dxa"/>
          </w:tcPr>
          <w:p w14:paraId="547A81A1">
            <w:pPr>
              <w:spacing w:line="340" w:lineRule="exact"/>
              <w:rPr>
                <w:rFonts w:ascii="宋体" w:hAnsi="宋体" w:cs="宋体"/>
                <w:color w:val="000000" w:themeColor="text1"/>
                <w:kern w:val="21"/>
                <w:szCs w:val="21"/>
                <w:highlight w:val="none"/>
                <w14:textFill>
                  <w14:solidFill>
                    <w14:schemeClr w14:val="tx1"/>
                  </w14:solidFill>
                </w14:textFill>
              </w:rPr>
            </w:pPr>
          </w:p>
        </w:tc>
        <w:tc>
          <w:tcPr>
            <w:tcW w:w="1450" w:type="dxa"/>
          </w:tcPr>
          <w:p w14:paraId="6F5AA6F5">
            <w:pPr>
              <w:spacing w:line="340" w:lineRule="exact"/>
              <w:rPr>
                <w:rFonts w:ascii="宋体" w:hAnsi="宋体" w:cs="宋体"/>
                <w:color w:val="000000" w:themeColor="text1"/>
                <w:kern w:val="21"/>
                <w:szCs w:val="21"/>
                <w:highlight w:val="none"/>
                <w14:textFill>
                  <w14:solidFill>
                    <w14:schemeClr w14:val="tx1"/>
                  </w14:solidFill>
                </w14:textFill>
              </w:rPr>
            </w:pPr>
          </w:p>
        </w:tc>
        <w:tc>
          <w:tcPr>
            <w:tcW w:w="1667" w:type="dxa"/>
          </w:tcPr>
          <w:p w14:paraId="6413B55C">
            <w:pPr>
              <w:spacing w:line="340" w:lineRule="exact"/>
              <w:rPr>
                <w:rFonts w:ascii="宋体" w:hAnsi="宋体" w:cs="宋体"/>
                <w:color w:val="000000" w:themeColor="text1"/>
                <w:kern w:val="21"/>
                <w:szCs w:val="21"/>
                <w:highlight w:val="none"/>
                <w14:textFill>
                  <w14:solidFill>
                    <w14:schemeClr w14:val="tx1"/>
                  </w14:solidFill>
                </w14:textFill>
              </w:rPr>
            </w:pPr>
          </w:p>
        </w:tc>
      </w:tr>
      <w:tr w14:paraId="343A3F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07DA773B">
            <w:pPr>
              <w:spacing w:line="340" w:lineRule="exact"/>
              <w:rPr>
                <w:rFonts w:ascii="宋体" w:hAnsi="宋体" w:cs="宋体"/>
                <w:color w:val="000000" w:themeColor="text1"/>
                <w:kern w:val="21"/>
                <w:szCs w:val="21"/>
                <w:highlight w:val="none"/>
                <w14:textFill>
                  <w14:solidFill>
                    <w14:schemeClr w14:val="tx1"/>
                  </w14:solidFill>
                </w14:textFill>
              </w:rPr>
            </w:pPr>
          </w:p>
        </w:tc>
        <w:tc>
          <w:tcPr>
            <w:tcW w:w="1276" w:type="dxa"/>
          </w:tcPr>
          <w:p w14:paraId="108C713D">
            <w:pPr>
              <w:spacing w:line="340" w:lineRule="exact"/>
              <w:rPr>
                <w:rFonts w:ascii="宋体" w:hAnsi="宋体" w:cs="宋体"/>
                <w:color w:val="000000" w:themeColor="text1"/>
                <w:kern w:val="21"/>
                <w:szCs w:val="21"/>
                <w:highlight w:val="none"/>
                <w14:textFill>
                  <w14:solidFill>
                    <w14:schemeClr w14:val="tx1"/>
                  </w14:solidFill>
                </w14:textFill>
              </w:rPr>
            </w:pPr>
          </w:p>
        </w:tc>
        <w:tc>
          <w:tcPr>
            <w:tcW w:w="1450" w:type="dxa"/>
          </w:tcPr>
          <w:p w14:paraId="0C5C57B6">
            <w:pPr>
              <w:spacing w:line="340" w:lineRule="exact"/>
              <w:rPr>
                <w:rFonts w:ascii="宋体" w:hAnsi="宋体" w:cs="宋体"/>
                <w:color w:val="000000" w:themeColor="text1"/>
                <w:kern w:val="21"/>
                <w:szCs w:val="21"/>
                <w:highlight w:val="none"/>
                <w14:textFill>
                  <w14:solidFill>
                    <w14:schemeClr w14:val="tx1"/>
                  </w14:solidFill>
                </w14:textFill>
              </w:rPr>
            </w:pPr>
          </w:p>
        </w:tc>
        <w:tc>
          <w:tcPr>
            <w:tcW w:w="1243" w:type="dxa"/>
          </w:tcPr>
          <w:p w14:paraId="01968D9D">
            <w:pPr>
              <w:spacing w:line="340" w:lineRule="exact"/>
              <w:rPr>
                <w:rFonts w:ascii="宋体" w:hAnsi="宋体" w:cs="宋体"/>
                <w:color w:val="000000" w:themeColor="text1"/>
                <w:kern w:val="21"/>
                <w:szCs w:val="21"/>
                <w:highlight w:val="none"/>
                <w14:textFill>
                  <w14:solidFill>
                    <w14:schemeClr w14:val="tx1"/>
                  </w14:solidFill>
                </w14:textFill>
              </w:rPr>
            </w:pPr>
          </w:p>
        </w:tc>
        <w:tc>
          <w:tcPr>
            <w:tcW w:w="1450" w:type="dxa"/>
          </w:tcPr>
          <w:p w14:paraId="1EE916C9">
            <w:pPr>
              <w:spacing w:line="340" w:lineRule="exact"/>
              <w:rPr>
                <w:rFonts w:ascii="宋体" w:hAnsi="宋体" w:cs="宋体"/>
                <w:color w:val="000000" w:themeColor="text1"/>
                <w:kern w:val="21"/>
                <w:szCs w:val="21"/>
                <w:highlight w:val="none"/>
                <w14:textFill>
                  <w14:solidFill>
                    <w14:schemeClr w14:val="tx1"/>
                  </w14:solidFill>
                </w14:textFill>
              </w:rPr>
            </w:pPr>
          </w:p>
        </w:tc>
        <w:tc>
          <w:tcPr>
            <w:tcW w:w="1667" w:type="dxa"/>
          </w:tcPr>
          <w:p w14:paraId="05EBD5B0">
            <w:pPr>
              <w:spacing w:line="340" w:lineRule="exact"/>
              <w:rPr>
                <w:rFonts w:ascii="宋体" w:hAnsi="宋体" w:cs="宋体"/>
                <w:color w:val="000000" w:themeColor="text1"/>
                <w:kern w:val="21"/>
                <w:szCs w:val="21"/>
                <w:highlight w:val="none"/>
                <w14:textFill>
                  <w14:solidFill>
                    <w14:schemeClr w14:val="tx1"/>
                  </w14:solidFill>
                </w14:textFill>
              </w:rPr>
            </w:pPr>
          </w:p>
        </w:tc>
      </w:tr>
      <w:tr w14:paraId="7B022F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6DEDDEA0">
            <w:pPr>
              <w:spacing w:line="340" w:lineRule="exact"/>
              <w:rPr>
                <w:rFonts w:ascii="宋体" w:hAnsi="宋体" w:cs="宋体"/>
                <w:color w:val="000000" w:themeColor="text1"/>
                <w:kern w:val="21"/>
                <w:szCs w:val="21"/>
                <w:highlight w:val="none"/>
                <w14:textFill>
                  <w14:solidFill>
                    <w14:schemeClr w14:val="tx1"/>
                  </w14:solidFill>
                </w14:textFill>
              </w:rPr>
            </w:pPr>
          </w:p>
        </w:tc>
        <w:tc>
          <w:tcPr>
            <w:tcW w:w="1276" w:type="dxa"/>
          </w:tcPr>
          <w:p w14:paraId="15C4CB48">
            <w:pPr>
              <w:spacing w:line="340" w:lineRule="exact"/>
              <w:rPr>
                <w:rFonts w:ascii="宋体" w:hAnsi="宋体" w:cs="宋体"/>
                <w:color w:val="000000" w:themeColor="text1"/>
                <w:kern w:val="21"/>
                <w:szCs w:val="21"/>
                <w:highlight w:val="none"/>
                <w14:textFill>
                  <w14:solidFill>
                    <w14:schemeClr w14:val="tx1"/>
                  </w14:solidFill>
                </w14:textFill>
              </w:rPr>
            </w:pPr>
          </w:p>
        </w:tc>
        <w:tc>
          <w:tcPr>
            <w:tcW w:w="1450" w:type="dxa"/>
          </w:tcPr>
          <w:p w14:paraId="3902D0D4">
            <w:pPr>
              <w:spacing w:line="340" w:lineRule="exact"/>
              <w:rPr>
                <w:rFonts w:ascii="宋体" w:hAnsi="宋体" w:cs="宋体"/>
                <w:color w:val="000000" w:themeColor="text1"/>
                <w:kern w:val="21"/>
                <w:szCs w:val="21"/>
                <w:highlight w:val="none"/>
                <w14:textFill>
                  <w14:solidFill>
                    <w14:schemeClr w14:val="tx1"/>
                  </w14:solidFill>
                </w14:textFill>
              </w:rPr>
            </w:pPr>
          </w:p>
        </w:tc>
        <w:tc>
          <w:tcPr>
            <w:tcW w:w="1243" w:type="dxa"/>
          </w:tcPr>
          <w:p w14:paraId="7249F02D">
            <w:pPr>
              <w:spacing w:line="340" w:lineRule="exact"/>
              <w:rPr>
                <w:rFonts w:ascii="宋体" w:hAnsi="宋体" w:cs="宋体"/>
                <w:color w:val="000000" w:themeColor="text1"/>
                <w:kern w:val="21"/>
                <w:szCs w:val="21"/>
                <w:highlight w:val="none"/>
                <w14:textFill>
                  <w14:solidFill>
                    <w14:schemeClr w14:val="tx1"/>
                  </w14:solidFill>
                </w14:textFill>
              </w:rPr>
            </w:pPr>
          </w:p>
        </w:tc>
        <w:tc>
          <w:tcPr>
            <w:tcW w:w="1450" w:type="dxa"/>
          </w:tcPr>
          <w:p w14:paraId="66660F63">
            <w:pPr>
              <w:spacing w:line="340" w:lineRule="exact"/>
              <w:rPr>
                <w:rFonts w:ascii="宋体" w:hAnsi="宋体" w:cs="宋体"/>
                <w:color w:val="000000" w:themeColor="text1"/>
                <w:kern w:val="21"/>
                <w:szCs w:val="21"/>
                <w:highlight w:val="none"/>
                <w14:textFill>
                  <w14:solidFill>
                    <w14:schemeClr w14:val="tx1"/>
                  </w14:solidFill>
                </w14:textFill>
              </w:rPr>
            </w:pPr>
          </w:p>
        </w:tc>
        <w:tc>
          <w:tcPr>
            <w:tcW w:w="1667" w:type="dxa"/>
          </w:tcPr>
          <w:p w14:paraId="44F9D291">
            <w:pPr>
              <w:spacing w:line="340" w:lineRule="exact"/>
              <w:rPr>
                <w:rFonts w:ascii="宋体" w:hAnsi="宋体" w:cs="宋体"/>
                <w:color w:val="000000" w:themeColor="text1"/>
                <w:kern w:val="21"/>
                <w:szCs w:val="21"/>
                <w:highlight w:val="none"/>
                <w14:textFill>
                  <w14:solidFill>
                    <w14:schemeClr w14:val="tx1"/>
                  </w14:solidFill>
                </w14:textFill>
              </w:rPr>
            </w:pPr>
          </w:p>
        </w:tc>
      </w:tr>
      <w:tr w14:paraId="2E9896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2AB40C6A">
            <w:pPr>
              <w:spacing w:line="340" w:lineRule="exact"/>
              <w:rPr>
                <w:rFonts w:ascii="宋体" w:hAnsi="宋体" w:cs="宋体"/>
                <w:color w:val="000000" w:themeColor="text1"/>
                <w:kern w:val="21"/>
                <w:szCs w:val="21"/>
                <w:highlight w:val="none"/>
                <w14:textFill>
                  <w14:solidFill>
                    <w14:schemeClr w14:val="tx1"/>
                  </w14:solidFill>
                </w14:textFill>
              </w:rPr>
            </w:pPr>
          </w:p>
        </w:tc>
        <w:tc>
          <w:tcPr>
            <w:tcW w:w="1276" w:type="dxa"/>
          </w:tcPr>
          <w:p w14:paraId="792ABD03">
            <w:pPr>
              <w:spacing w:line="340" w:lineRule="exact"/>
              <w:rPr>
                <w:rFonts w:ascii="宋体" w:hAnsi="宋体" w:cs="宋体"/>
                <w:color w:val="000000" w:themeColor="text1"/>
                <w:kern w:val="21"/>
                <w:szCs w:val="21"/>
                <w:highlight w:val="none"/>
                <w14:textFill>
                  <w14:solidFill>
                    <w14:schemeClr w14:val="tx1"/>
                  </w14:solidFill>
                </w14:textFill>
              </w:rPr>
            </w:pPr>
          </w:p>
        </w:tc>
        <w:tc>
          <w:tcPr>
            <w:tcW w:w="1450" w:type="dxa"/>
          </w:tcPr>
          <w:p w14:paraId="55791EB2">
            <w:pPr>
              <w:spacing w:line="340" w:lineRule="exact"/>
              <w:rPr>
                <w:rFonts w:ascii="宋体" w:hAnsi="宋体" w:cs="宋体"/>
                <w:color w:val="000000" w:themeColor="text1"/>
                <w:kern w:val="21"/>
                <w:szCs w:val="21"/>
                <w:highlight w:val="none"/>
                <w14:textFill>
                  <w14:solidFill>
                    <w14:schemeClr w14:val="tx1"/>
                  </w14:solidFill>
                </w14:textFill>
              </w:rPr>
            </w:pPr>
          </w:p>
        </w:tc>
        <w:tc>
          <w:tcPr>
            <w:tcW w:w="1243" w:type="dxa"/>
          </w:tcPr>
          <w:p w14:paraId="030E81E5">
            <w:pPr>
              <w:spacing w:line="340" w:lineRule="exact"/>
              <w:rPr>
                <w:rFonts w:ascii="宋体" w:hAnsi="宋体" w:cs="宋体"/>
                <w:color w:val="000000" w:themeColor="text1"/>
                <w:kern w:val="21"/>
                <w:szCs w:val="21"/>
                <w:highlight w:val="none"/>
                <w14:textFill>
                  <w14:solidFill>
                    <w14:schemeClr w14:val="tx1"/>
                  </w14:solidFill>
                </w14:textFill>
              </w:rPr>
            </w:pPr>
          </w:p>
        </w:tc>
        <w:tc>
          <w:tcPr>
            <w:tcW w:w="1450" w:type="dxa"/>
          </w:tcPr>
          <w:p w14:paraId="21F1BA13">
            <w:pPr>
              <w:spacing w:line="340" w:lineRule="exact"/>
              <w:rPr>
                <w:rFonts w:ascii="宋体" w:hAnsi="宋体" w:cs="宋体"/>
                <w:color w:val="000000" w:themeColor="text1"/>
                <w:kern w:val="21"/>
                <w:szCs w:val="21"/>
                <w:highlight w:val="none"/>
                <w14:textFill>
                  <w14:solidFill>
                    <w14:schemeClr w14:val="tx1"/>
                  </w14:solidFill>
                </w14:textFill>
              </w:rPr>
            </w:pPr>
          </w:p>
        </w:tc>
        <w:tc>
          <w:tcPr>
            <w:tcW w:w="1667" w:type="dxa"/>
          </w:tcPr>
          <w:p w14:paraId="67EF25CF">
            <w:pPr>
              <w:spacing w:line="340" w:lineRule="exact"/>
              <w:rPr>
                <w:rFonts w:ascii="宋体" w:hAnsi="宋体" w:cs="宋体"/>
                <w:color w:val="000000" w:themeColor="text1"/>
                <w:kern w:val="21"/>
                <w:szCs w:val="21"/>
                <w:highlight w:val="none"/>
                <w14:textFill>
                  <w14:solidFill>
                    <w14:schemeClr w14:val="tx1"/>
                  </w14:solidFill>
                </w14:textFill>
              </w:rPr>
            </w:pPr>
          </w:p>
        </w:tc>
      </w:tr>
      <w:tr w14:paraId="7BEACC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2D8EE98A">
            <w:pPr>
              <w:spacing w:line="340" w:lineRule="exact"/>
              <w:rPr>
                <w:rFonts w:ascii="宋体" w:hAnsi="宋体" w:cs="宋体"/>
                <w:color w:val="000000" w:themeColor="text1"/>
                <w:kern w:val="21"/>
                <w:szCs w:val="21"/>
                <w:highlight w:val="none"/>
                <w14:textFill>
                  <w14:solidFill>
                    <w14:schemeClr w14:val="tx1"/>
                  </w14:solidFill>
                </w14:textFill>
              </w:rPr>
            </w:pPr>
          </w:p>
        </w:tc>
        <w:tc>
          <w:tcPr>
            <w:tcW w:w="1276" w:type="dxa"/>
          </w:tcPr>
          <w:p w14:paraId="108C1827">
            <w:pPr>
              <w:spacing w:line="340" w:lineRule="exact"/>
              <w:rPr>
                <w:rFonts w:ascii="宋体" w:hAnsi="宋体" w:cs="宋体"/>
                <w:color w:val="000000" w:themeColor="text1"/>
                <w:kern w:val="21"/>
                <w:szCs w:val="21"/>
                <w:highlight w:val="none"/>
                <w14:textFill>
                  <w14:solidFill>
                    <w14:schemeClr w14:val="tx1"/>
                  </w14:solidFill>
                </w14:textFill>
              </w:rPr>
            </w:pPr>
          </w:p>
        </w:tc>
        <w:tc>
          <w:tcPr>
            <w:tcW w:w="1450" w:type="dxa"/>
          </w:tcPr>
          <w:p w14:paraId="67097E67">
            <w:pPr>
              <w:spacing w:line="340" w:lineRule="exact"/>
              <w:rPr>
                <w:rFonts w:ascii="宋体" w:hAnsi="宋体" w:cs="宋体"/>
                <w:color w:val="000000" w:themeColor="text1"/>
                <w:kern w:val="21"/>
                <w:szCs w:val="21"/>
                <w:highlight w:val="none"/>
                <w14:textFill>
                  <w14:solidFill>
                    <w14:schemeClr w14:val="tx1"/>
                  </w14:solidFill>
                </w14:textFill>
              </w:rPr>
            </w:pPr>
          </w:p>
        </w:tc>
        <w:tc>
          <w:tcPr>
            <w:tcW w:w="1243" w:type="dxa"/>
          </w:tcPr>
          <w:p w14:paraId="4EA8F064">
            <w:pPr>
              <w:spacing w:line="340" w:lineRule="exact"/>
              <w:rPr>
                <w:rFonts w:ascii="宋体" w:hAnsi="宋体" w:cs="宋体"/>
                <w:color w:val="000000" w:themeColor="text1"/>
                <w:kern w:val="21"/>
                <w:szCs w:val="21"/>
                <w:highlight w:val="none"/>
                <w14:textFill>
                  <w14:solidFill>
                    <w14:schemeClr w14:val="tx1"/>
                  </w14:solidFill>
                </w14:textFill>
              </w:rPr>
            </w:pPr>
          </w:p>
        </w:tc>
        <w:tc>
          <w:tcPr>
            <w:tcW w:w="1450" w:type="dxa"/>
          </w:tcPr>
          <w:p w14:paraId="060A07E3">
            <w:pPr>
              <w:spacing w:line="340" w:lineRule="exact"/>
              <w:rPr>
                <w:rFonts w:ascii="宋体" w:hAnsi="宋体" w:cs="宋体"/>
                <w:color w:val="000000" w:themeColor="text1"/>
                <w:kern w:val="21"/>
                <w:szCs w:val="21"/>
                <w:highlight w:val="none"/>
                <w14:textFill>
                  <w14:solidFill>
                    <w14:schemeClr w14:val="tx1"/>
                  </w14:solidFill>
                </w14:textFill>
              </w:rPr>
            </w:pPr>
          </w:p>
        </w:tc>
        <w:tc>
          <w:tcPr>
            <w:tcW w:w="1667" w:type="dxa"/>
          </w:tcPr>
          <w:p w14:paraId="0BFCD1F9">
            <w:pPr>
              <w:spacing w:line="340" w:lineRule="exact"/>
              <w:rPr>
                <w:rFonts w:ascii="宋体" w:hAnsi="宋体" w:cs="宋体"/>
                <w:color w:val="000000" w:themeColor="text1"/>
                <w:kern w:val="21"/>
                <w:szCs w:val="21"/>
                <w:highlight w:val="none"/>
                <w14:textFill>
                  <w14:solidFill>
                    <w14:schemeClr w14:val="tx1"/>
                  </w14:solidFill>
                </w14:textFill>
              </w:rPr>
            </w:pPr>
          </w:p>
        </w:tc>
      </w:tr>
      <w:tr w14:paraId="7B328B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77878C11">
            <w:pPr>
              <w:spacing w:line="340" w:lineRule="exact"/>
              <w:rPr>
                <w:rFonts w:ascii="宋体" w:hAnsi="宋体" w:cs="宋体"/>
                <w:color w:val="000000" w:themeColor="text1"/>
                <w:kern w:val="21"/>
                <w:szCs w:val="21"/>
                <w:highlight w:val="none"/>
                <w14:textFill>
                  <w14:solidFill>
                    <w14:schemeClr w14:val="tx1"/>
                  </w14:solidFill>
                </w14:textFill>
              </w:rPr>
            </w:pPr>
          </w:p>
        </w:tc>
        <w:tc>
          <w:tcPr>
            <w:tcW w:w="1276" w:type="dxa"/>
          </w:tcPr>
          <w:p w14:paraId="54278B11">
            <w:pPr>
              <w:spacing w:line="340" w:lineRule="exact"/>
              <w:rPr>
                <w:rFonts w:ascii="宋体" w:hAnsi="宋体" w:cs="宋体"/>
                <w:color w:val="000000" w:themeColor="text1"/>
                <w:kern w:val="21"/>
                <w:szCs w:val="21"/>
                <w:highlight w:val="none"/>
                <w14:textFill>
                  <w14:solidFill>
                    <w14:schemeClr w14:val="tx1"/>
                  </w14:solidFill>
                </w14:textFill>
              </w:rPr>
            </w:pPr>
          </w:p>
        </w:tc>
        <w:tc>
          <w:tcPr>
            <w:tcW w:w="1450" w:type="dxa"/>
          </w:tcPr>
          <w:p w14:paraId="79DECC33">
            <w:pPr>
              <w:spacing w:line="340" w:lineRule="exact"/>
              <w:rPr>
                <w:rFonts w:ascii="宋体" w:hAnsi="宋体" w:cs="宋体"/>
                <w:color w:val="000000" w:themeColor="text1"/>
                <w:kern w:val="21"/>
                <w:szCs w:val="21"/>
                <w:highlight w:val="none"/>
                <w14:textFill>
                  <w14:solidFill>
                    <w14:schemeClr w14:val="tx1"/>
                  </w14:solidFill>
                </w14:textFill>
              </w:rPr>
            </w:pPr>
          </w:p>
        </w:tc>
        <w:tc>
          <w:tcPr>
            <w:tcW w:w="1243" w:type="dxa"/>
          </w:tcPr>
          <w:p w14:paraId="3332B563">
            <w:pPr>
              <w:spacing w:line="340" w:lineRule="exact"/>
              <w:rPr>
                <w:rFonts w:ascii="宋体" w:hAnsi="宋体" w:cs="宋体"/>
                <w:color w:val="000000" w:themeColor="text1"/>
                <w:kern w:val="21"/>
                <w:szCs w:val="21"/>
                <w:highlight w:val="none"/>
                <w14:textFill>
                  <w14:solidFill>
                    <w14:schemeClr w14:val="tx1"/>
                  </w14:solidFill>
                </w14:textFill>
              </w:rPr>
            </w:pPr>
          </w:p>
        </w:tc>
        <w:tc>
          <w:tcPr>
            <w:tcW w:w="1450" w:type="dxa"/>
          </w:tcPr>
          <w:p w14:paraId="36FC718B">
            <w:pPr>
              <w:spacing w:line="340" w:lineRule="exact"/>
              <w:rPr>
                <w:rFonts w:ascii="宋体" w:hAnsi="宋体" w:cs="宋体"/>
                <w:color w:val="000000" w:themeColor="text1"/>
                <w:kern w:val="21"/>
                <w:szCs w:val="21"/>
                <w:highlight w:val="none"/>
                <w14:textFill>
                  <w14:solidFill>
                    <w14:schemeClr w14:val="tx1"/>
                  </w14:solidFill>
                </w14:textFill>
              </w:rPr>
            </w:pPr>
          </w:p>
        </w:tc>
        <w:tc>
          <w:tcPr>
            <w:tcW w:w="1667" w:type="dxa"/>
          </w:tcPr>
          <w:p w14:paraId="3ED337DC">
            <w:pPr>
              <w:spacing w:line="340" w:lineRule="exact"/>
              <w:rPr>
                <w:rFonts w:ascii="宋体" w:hAnsi="宋体" w:cs="宋体"/>
                <w:color w:val="000000" w:themeColor="text1"/>
                <w:kern w:val="21"/>
                <w:szCs w:val="21"/>
                <w:highlight w:val="none"/>
                <w14:textFill>
                  <w14:solidFill>
                    <w14:schemeClr w14:val="tx1"/>
                  </w14:solidFill>
                </w14:textFill>
              </w:rPr>
            </w:pPr>
          </w:p>
        </w:tc>
      </w:tr>
      <w:tr w14:paraId="1F6EF1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435A1838">
            <w:pPr>
              <w:spacing w:line="340" w:lineRule="exact"/>
              <w:rPr>
                <w:rFonts w:ascii="宋体" w:hAnsi="宋体" w:cs="宋体"/>
                <w:color w:val="000000" w:themeColor="text1"/>
                <w:kern w:val="21"/>
                <w:szCs w:val="21"/>
                <w:highlight w:val="none"/>
                <w14:textFill>
                  <w14:solidFill>
                    <w14:schemeClr w14:val="tx1"/>
                  </w14:solidFill>
                </w14:textFill>
              </w:rPr>
            </w:pPr>
          </w:p>
        </w:tc>
        <w:tc>
          <w:tcPr>
            <w:tcW w:w="1276" w:type="dxa"/>
          </w:tcPr>
          <w:p w14:paraId="5EA4A192">
            <w:pPr>
              <w:spacing w:line="340" w:lineRule="exact"/>
              <w:rPr>
                <w:rFonts w:ascii="宋体" w:hAnsi="宋体" w:cs="宋体"/>
                <w:color w:val="000000" w:themeColor="text1"/>
                <w:kern w:val="21"/>
                <w:szCs w:val="21"/>
                <w:highlight w:val="none"/>
                <w14:textFill>
                  <w14:solidFill>
                    <w14:schemeClr w14:val="tx1"/>
                  </w14:solidFill>
                </w14:textFill>
              </w:rPr>
            </w:pPr>
          </w:p>
        </w:tc>
        <w:tc>
          <w:tcPr>
            <w:tcW w:w="1450" w:type="dxa"/>
          </w:tcPr>
          <w:p w14:paraId="69594662">
            <w:pPr>
              <w:spacing w:line="340" w:lineRule="exact"/>
              <w:rPr>
                <w:rFonts w:ascii="宋体" w:hAnsi="宋体" w:cs="宋体"/>
                <w:color w:val="000000" w:themeColor="text1"/>
                <w:kern w:val="21"/>
                <w:szCs w:val="21"/>
                <w:highlight w:val="none"/>
                <w14:textFill>
                  <w14:solidFill>
                    <w14:schemeClr w14:val="tx1"/>
                  </w14:solidFill>
                </w14:textFill>
              </w:rPr>
            </w:pPr>
          </w:p>
        </w:tc>
        <w:tc>
          <w:tcPr>
            <w:tcW w:w="1243" w:type="dxa"/>
          </w:tcPr>
          <w:p w14:paraId="1A02AB5E">
            <w:pPr>
              <w:spacing w:line="340" w:lineRule="exact"/>
              <w:rPr>
                <w:rFonts w:ascii="宋体" w:hAnsi="宋体" w:cs="宋体"/>
                <w:color w:val="000000" w:themeColor="text1"/>
                <w:kern w:val="21"/>
                <w:szCs w:val="21"/>
                <w:highlight w:val="none"/>
                <w14:textFill>
                  <w14:solidFill>
                    <w14:schemeClr w14:val="tx1"/>
                  </w14:solidFill>
                </w14:textFill>
              </w:rPr>
            </w:pPr>
          </w:p>
        </w:tc>
        <w:tc>
          <w:tcPr>
            <w:tcW w:w="1450" w:type="dxa"/>
          </w:tcPr>
          <w:p w14:paraId="32A12B48">
            <w:pPr>
              <w:spacing w:line="340" w:lineRule="exact"/>
              <w:rPr>
                <w:rFonts w:ascii="宋体" w:hAnsi="宋体" w:cs="宋体"/>
                <w:color w:val="000000" w:themeColor="text1"/>
                <w:kern w:val="21"/>
                <w:szCs w:val="21"/>
                <w:highlight w:val="none"/>
                <w14:textFill>
                  <w14:solidFill>
                    <w14:schemeClr w14:val="tx1"/>
                  </w14:solidFill>
                </w14:textFill>
              </w:rPr>
            </w:pPr>
          </w:p>
        </w:tc>
        <w:tc>
          <w:tcPr>
            <w:tcW w:w="1667" w:type="dxa"/>
          </w:tcPr>
          <w:p w14:paraId="5053B219">
            <w:pPr>
              <w:spacing w:line="340" w:lineRule="exact"/>
              <w:rPr>
                <w:rFonts w:ascii="宋体" w:hAnsi="宋体" w:cs="宋体"/>
                <w:color w:val="000000" w:themeColor="text1"/>
                <w:kern w:val="21"/>
                <w:szCs w:val="21"/>
                <w:highlight w:val="none"/>
                <w14:textFill>
                  <w14:solidFill>
                    <w14:schemeClr w14:val="tx1"/>
                  </w14:solidFill>
                </w14:textFill>
              </w:rPr>
            </w:pPr>
          </w:p>
        </w:tc>
      </w:tr>
      <w:tr w14:paraId="03F38E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7639EB7C">
            <w:pPr>
              <w:spacing w:line="340" w:lineRule="exact"/>
              <w:rPr>
                <w:rFonts w:ascii="宋体" w:hAnsi="宋体" w:cs="宋体"/>
                <w:color w:val="000000" w:themeColor="text1"/>
                <w:kern w:val="21"/>
                <w:szCs w:val="21"/>
                <w:highlight w:val="none"/>
                <w14:textFill>
                  <w14:solidFill>
                    <w14:schemeClr w14:val="tx1"/>
                  </w14:solidFill>
                </w14:textFill>
              </w:rPr>
            </w:pPr>
          </w:p>
        </w:tc>
        <w:tc>
          <w:tcPr>
            <w:tcW w:w="1276" w:type="dxa"/>
          </w:tcPr>
          <w:p w14:paraId="3D37215D">
            <w:pPr>
              <w:spacing w:line="340" w:lineRule="exact"/>
              <w:rPr>
                <w:rFonts w:ascii="宋体" w:hAnsi="宋体" w:cs="宋体"/>
                <w:color w:val="000000" w:themeColor="text1"/>
                <w:kern w:val="21"/>
                <w:szCs w:val="21"/>
                <w:highlight w:val="none"/>
                <w14:textFill>
                  <w14:solidFill>
                    <w14:schemeClr w14:val="tx1"/>
                  </w14:solidFill>
                </w14:textFill>
              </w:rPr>
            </w:pPr>
          </w:p>
        </w:tc>
        <w:tc>
          <w:tcPr>
            <w:tcW w:w="1450" w:type="dxa"/>
          </w:tcPr>
          <w:p w14:paraId="28376142">
            <w:pPr>
              <w:spacing w:line="340" w:lineRule="exact"/>
              <w:rPr>
                <w:rFonts w:ascii="宋体" w:hAnsi="宋体" w:cs="宋体"/>
                <w:color w:val="000000" w:themeColor="text1"/>
                <w:kern w:val="21"/>
                <w:szCs w:val="21"/>
                <w:highlight w:val="none"/>
                <w14:textFill>
                  <w14:solidFill>
                    <w14:schemeClr w14:val="tx1"/>
                  </w14:solidFill>
                </w14:textFill>
              </w:rPr>
            </w:pPr>
          </w:p>
        </w:tc>
        <w:tc>
          <w:tcPr>
            <w:tcW w:w="1243" w:type="dxa"/>
          </w:tcPr>
          <w:p w14:paraId="0222B7F1">
            <w:pPr>
              <w:spacing w:line="340" w:lineRule="exact"/>
              <w:rPr>
                <w:rFonts w:ascii="宋体" w:hAnsi="宋体" w:cs="宋体"/>
                <w:color w:val="000000" w:themeColor="text1"/>
                <w:kern w:val="21"/>
                <w:szCs w:val="21"/>
                <w:highlight w:val="none"/>
                <w14:textFill>
                  <w14:solidFill>
                    <w14:schemeClr w14:val="tx1"/>
                  </w14:solidFill>
                </w14:textFill>
              </w:rPr>
            </w:pPr>
          </w:p>
        </w:tc>
        <w:tc>
          <w:tcPr>
            <w:tcW w:w="1450" w:type="dxa"/>
          </w:tcPr>
          <w:p w14:paraId="4507202D">
            <w:pPr>
              <w:spacing w:line="340" w:lineRule="exact"/>
              <w:rPr>
                <w:rFonts w:ascii="宋体" w:hAnsi="宋体" w:cs="宋体"/>
                <w:color w:val="000000" w:themeColor="text1"/>
                <w:kern w:val="21"/>
                <w:szCs w:val="21"/>
                <w:highlight w:val="none"/>
                <w14:textFill>
                  <w14:solidFill>
                    <w14:schemeClr w14:val="tx1"/>
                  </w14:solidFill>
                </w14:textFill>
              </w:rPr>
            </w:pPr>
          </w:p>
        </w:tc>
        <w:tc>
          <w:tcPr>
            <w:tcW w:w="1667" w:type="dxa"/>
          </w:tcPr>
          <w:p w14:paraId="1C62B996">
            <w:pPr>
              <w:spacing w:line="340" w:lineRule="exact"/>
              <w:rPr>
                <w:rFonts w:ascii="宋体" w:hAnsi="宋体" w:cs="宋体"/>
                <w:color w:val="000000" w:themeColor="text1"/>
                <w:kern w:val="21"/>
                <w:szCs w:val="21"/>
                <w:highlight w:val="none"/>
                <w14:textFill>
                  <w14:solidFill>
                    <w14:schemeClr w14:val="tx1"/>
                  </w14:solidFill>
                </w14:textFill>
              </w:rPr>
            </w:pPr>
          </w:p>
        </w:tc>
      </w:tr>
      <w:tr w14:paraId="12C8D1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2D9A1E58">
            <w:pPr>
              <w:spacing w:line="340" w:lineRule="exact"/>
              <w:rPr>
                <w:rFonts w:ascii="宋体" w:hAnsi="宋体" w:cs="宋体"/>
                <w:color w:val="000000" w:themeColor="text1"/>
                <w:kern w:val="21"/>
                <w:szCs w:val="21"/>
                <w:highlight w:val="none"/>
                <w14:textFill>
                  <w14:solidFill>
                    <w14:schemeClr w14:val="tx1"/>
                  </w14:solidFill>
                </w14:textFill>
              </w:rPr>
            </w:pPr>
          </w:p>
        </w:tc>
        <w:tc>
          <w:tcPr>
            <w:tcW w:w="1276" w:type="dxa"/>
          </w:tcPr>
          <w:p w14:paraId="53BB6D62">
            <w:pPr>
              <w:spacing w:line="340" w:lineRule="exact"/>
              <w:rPr>
                <w:rFonts w:ascii="宋体" w:hAnsi="宋体" w:cs="宋体"/>
                <w:color w:val="000000" w:themeColor="text1"/>
                <w:kern w:val="21"/>
                <w:szCs w:val="21"/>
                <w:highlight w:val="none"/>
                <w14:textFill>
                  <w14:solidFill>
                    <w14:schemeClr w14:val="tx1"/>
                  </w14:solidFill>
                </w14:textFill>
              </w:rPr>
            </w:pPr>
          </w:p>
        </w:tc>
        <w:tc>
          <w:tcPr>
            <w:tcW w:w="1450" w:type="dxa"/>
          </w:tcPr>
          <w:p w14:paraId="04DF7964">
            <w:pPr>
              <w:spacing w:line="340" w:lineRule="exact"/>
              <w:rPr>
                <w:rFonts w:ascii="宋体" w:hAnsi="宋体" w:cs="宋体"/>
                <w:color w:val="000000" w:themeColor="text1"/>
                <w:kern w:val="21"/>
                <w:szCs w:val="21"/>
                <w:highlight w:val="none"/>
                <w14:textFill>
                  <w14:solidFill>
                    <w14:schemeClr w14:val="tx1"/>
                  </w14:solidFill>
                </w14:textFill>
              </w:rPr>
            </w:pPr>
          </w:p>
        </w:tc>
        <w:tc>
          <w:tcPr>
            <w:tcW w:w="1243" w:type="dxa"/>
          </w:tcPr>
          <w:p w14:paraId="44937518">
            <w:pPr>
              <w:spacing w:line="340" w:lineRule="exact"/>
              <w:rPr>
                <w:rFonts w:ascii="宋体" w:hAnsi="宋体" w:cs="宋体"/>
                <w:color w:val="000000" w:themeColor="text1"/>
                <w:kern w:val="21"/>
                <w:szCs w:val="21"/>
                <w:highlight w:val="none"/>
                <w14:textFill>
                  <w14:solidFill>
                    <w14:schemeClr w14:val="tx1"/>
                  </w14:solidFill>
                </w14:textFill>
              </w:rPr>
            </w:pPr>
          </w:p>
        </w:tc>
        <w:tc>
          <w:tcPr>
            <w:tcW w:w="1450" w:type="dxa"/>
          </w:tcPr>
          <w:p w14:paraId="3806C24A">
            <w:pPr>
              <w:spacing w:line="340" w:lineRule="exact"/>
              <w:rPr>
                <w:rFonts w:ascii="宋体" w:hAnsi="宋体" w:cs="宋体"/>
                <w:color w:val="000000" w:themeColor="text1"/>
                <w:kern w:val="21"/>
                <w:szCs w:val="21"/>
                <w:highlight w:val="none"/>
                <w14:textFill>
                  <w14:solidFill>
                    <w14:schemeClr w14:val="tx1"/>
                  </w14:solidFill>
                </w14:textFill>
              </w:rPr>
            </w:pPr>
          </w:p>
        </w:tc>
        <w:tc>
          <w:tcPr>
            <w:tcW w:w="1667" w:type="dxa"/>
          </w:tcPr>
          <w:p w14:paraId="1A923A4B">
            <w:pPr>
              <w:spacing w:line="340" w:lineRule="exact"/>
              <w:rPr>
                <w:rFonts w:ascii="宋体" w:hAnsi="宋体" w:cs="宋体"/>
                <w:color w:val="000000" w:themeColor="text1"/>
                <w:kern w:val="21"/>
                <w:szCs w:val="21"/>
                <w:highlight w:val="none"/>
                <w14:textFill>
                  <w14:solidFill>
                    <w14:schemeClr w14:val="tx1"/>
                  </w14:solidFill>
                </w14:textFill>
              </w:rPr>
            </w:pPr>
          </w:p>
        </w:tc>
      </w:tr>
    </w:tbl>
    <w:p w14:paraId="6C0359F2">
      <w:pPr>
        <w:spacing w:line="340" w:lineRule="exact"/>
        <w:rPr>
          <w:rFonts w:ascii="宋体" w:hAnsi="宋体" w:cs="宋体"/>
          <w:color w:val="000000" w:themeColor="text1"/>
          <w:kern w:val="21"/>
          <w:szCs w:val="21"/>
          <w:highlight w:val="none"/>
          <w14:textFill>
            <w14:solidFill>
              <w14:schemeClr w14:val="tx1"/>
            </w14:solidFill>
          </w14:textFill>
        </w:rPr>
      </w:pPr>
    </w:p>
    <w:p w14:paraId="1D744A16">
      <w:pPr>
        <w:spacing w:line="3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br w:type="page"/>
      </w:r>
      <w:r>
        <w:rPr>
          <w:rFonts w:hint="eastAsia" w:ascii="宋体" w:hAnsi="宋体" w:cs="宋体"/>
          <w:color w:val="000000" w:themeColor="text1"/>
          <w:kern w:val="21"/>
          <w:szCs w:val="21"/>
          <w:highlight w:val="none"/>
          <w14:textFill>
            <w14:solidFill>
              <w14:schemeClr w14:val="tx1"/>
            </w14:solidFill>
          </w14:textFill>
        </w:rPr>
        <w:t>附</w:t>
      </w:r>
      <w:bookmarkStart w:id="606" w:name="_Toc296891055"/>
      <w:bookmarkStart w:id="607" w:name="_Toc296944566"/>
      <w:bookmarkStart w:id="608" w:name="_Toc267261698"/>
      <w:bookmarkStart w:id="609" w:name="_Toc296891267"/>
      <w:bookmarkStart w:id="610" w:name="_Toc296346728"/>
      <w:bookmarkStart w:id="611" w:name="_Toc296503227"/>
      <w:bookmarkStart w:id="612" w:name="_Toc296347226"/>
      <w:r>
        <w:rPr>
          <w:rFonts w:hint="eastAsia" w:ascii="宋体" w:hAnsi="宋体" w:cs="宋体"/>
          <w:color w:val="000000" w:themeColor="text1"/>
          <w:kern w:val="21"/>
          <w:szCs w:val="21"/>
          <w:highlight w:val="none"/>
          <w14:textFill>
            <w14:solidFill>
              <w14:schemeClr w14:val="tx1"/>
            </w14:solidFill>
          </w14:textFill>
        </w:rPr>
        <w:t>件5：</w:t>
      </w:r>
    </w:p>
    <w:bookmarkEnd w:id="606"/>
    <w:bookmarkEnd w:id="607"/>
    <w:bookmarkEnd w:id="608"/>
    <w:bookmarkEnd w:id="609"/>
    <w:bookmarkEnd w:id="610"/>
    <w:bookmarkEnd w:id="611"/>
    <w:bookmarkEnd w:id="612"/>
    <w:p w14:paraId="55CABEFA">
      <w:pPr>
        <w:spacing w:before="156" w:beforeLines="50" w:after="156" w:afterLines="50" w:line="340" w:lineRule="exact"/>
        <w:jc w:val="center"/>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承包人用于本工程施工的机械设备表</w:t>
      </w:r>
    </w:p>
    <w:tbl>
      <w:tblPr>
        <w:tblStyle w:val="7"/>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1EE88E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14:paraId="67E3103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序号</w:t>
            </w:r>
          </w:p>
        </w:tc>
        <w:tc>
          <w:tcPr>
            <w:tcW w:w="1418" w:type="dxa"/>
            <w:tcBorders>
              <w:top w:val="single" w:color="auto" w:sz="12" w:space="0"/>
              <w:bottom w:val="double" w:color="auto" w:sz="6" w:space="0"/>
            </w:tcBorders>
            <w:vAlign w:val="center"/>
          </w:tcPr>
          <w:p w14:paraId="5D1FA7C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机械或设备名称</w:t>
            </w:r>
          </w:p>
        </w:tc>
        <w:tc>
          <w:tcPr>
            <w:tcW w:w="850" w:type="dxa"/>
            <w:tcBorders>
              <w:top w:val="single" w:color="auto" w:sz="12" w:space="0"/>
              <w:bottom w:val="double" w:color="auto" w:sz="6" w:space="0"/>
            </w:tcBorders>
            <w:vAlign w:val="center"/>
          </w:tcPr>
          <w:p w14:paraId="0A88562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规格型号</w:t>
            </w:r>
          </w:p>
        </w:tc>
        <w:tc>
          <w:tcPr>
            <w:tcW w:w="1058" w:type="dxa"/>
            <w:tcBorders>
              <w:top w:val="single" w:color="auto" w:sz="12" w:space="0"/>
              <w:bottom w:val="double" w:color="auto" w:sz="6" w:space="0"/>
            </w:tcBorders>
            <w:vAlign w:val="center"/>
          </w:tcPr>
          <w:p w14:paraId="4FD7DA9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数量</w:t>
            </w:r>
          </w:p>
        </w:tc>
        <w:tc>
          <w:tcPr>
            <w:tcW w:w="880" w:type="dxa"/>
            <w:tcBorders>
              <w:top w:val="single" w:color="auto" w:sz="12" w:space="0"/>
              <w:bottom w:val="double" w:color="auto" w:sz="6" w:space="0"/>
            </w:tcBorders>
            <w:vAlign w:val="center"/>
          </w:tcPr>
          <w:p w14:paraId="3F8C5B7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产地</w:t>
            </w:r>
          </w:p>
        </w:tc>
        <w:tc>
          <w:tcPr>
            <w:tcW w:w="1020" w:type="dxa"/>
            <w:tcBorders>
              <w:top w:val="single" w:color="auto" w:sz="12" w:space="0"/>
              <w:bottom w:val="double" w:color="auto" w:sz="6" w:space="0"/>
            </w:tcBorders>
            <w:vAlign w:val="center"/>
          </w:tcPr>
          <w:p w14:paraId="7D2A711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制造</w:t>
            </w:r>
          </w:p>
          <w:p w14:paraId="2F49154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年份</w:t>
            </w:r>
          </w:p>
        </w:tc>
        <w:tc>
          <w:tcPr>
            <w:tcW w:w="1480" w:type="dxa"/>
            <w:tcBorders>
              <w:top w:val="single" w:color="auto" w:sz="12" w:space="0"/>
              <w:bottom w:val="double" w:color="auto" w:sz="6" w:space="0"/>
            </w:tcBorders>
            <w:vAlign w:val="center"/>
          </w:tcPr>
          <w:p w14:paraId="5F97F7F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额定功率(kW)</w:t>
            </w:r>
          </w:p>
        </w:tc>
        <w:tc>
          <w:tcPr>
            <w:tcW w:w="1020" w:type="dxa"/>
            <w:tcBorders>
              <w:top w:val="single" w:color="auto" w:sz="12" w:space="0"/>
              <w:bottom w:val="double" w:color="auto" w:sz="6" w:space="0"/>
            </w:tcBorders>
            <w:vAlign w:val="center"/>
          </w:tcPr>
          <w:p w14:paraId="4EB4634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生产能力</w:t>
            </w:r>
          </w:p>
        </w:tc>
        <w:tc>
          <w:tcPr>
            <w:tcW w:w="921" w:type="dxa"/>
            <w:tcBorders>
              <w:top w:val="single" w:color="auto" w:sz="12" w:space="0"/>
              <w:bottom w:val="double" w:color="auto" w:sz="6" w:space="0"/>
            </w:tcBorders>
            <w:vAlign w:val="center"/>
          </w:tcPr>
          <w:p w14:paraId="0988F27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备注</w:t>
            </w:r>
          </w:p>
        </w:tc>
      </w:tr>
      <w:tr w14:paraId="593AE7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vAlign w:val="center"/>
          </w:tcPr>
          <w:p w14:paraId="636A3E2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Borders>
              <w:top w:val="double" w:color="auto" w:sz="6" w:space="0"/>
              <w:bottom w:val="single" w:color="auto" w:sz="6" w:space="0"/>
            </w:tcBorders>
            <w:vAlign w:val="center"/>
          </w:tcPr>
          <w:p w14:paraId="41BA6B3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tcBorders>
              <w:top w:val="double" w:color="auto" w:sz="6" w:space="0"/>
              <w:bottom w:val="single" w:color="auto" w:sz="6" w:space="0"/>
            </w:tcBorders>
            <w:vAlign w:val="center"/>
          </w:tcPr>
          <w:p w14:paraId="4D06B74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58" w:type="dxa"/>
            <w:tcBorders>
              <w:top w:val="double" w:color="auto" w:sz="6" w:space="0"/>
              <w:bottom w:val="single" w:color="auto" w:sz="6" w:space="0"/>
            </w:tcBorders>
            <w:vAlign w:val="center"/>
          </w:tcPr>
          <w:p w14:paraId="6CEF368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80" w:type="dxa"/>
            <w:tcBorders>
              <w:top w:val="double" w:color="auto" w:sz="6" w:space="0"/>
              <w:bottom w:val="single" w:color="auto" w:sz="6" w:space="0"/>
            </w:tcBorders>
            <w:vAlign w:val="center"/>
          </w:tcPr>
          <w:p w14:paraId="6DE64AB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20" w:type="dxa"/>
            <w:tcBorders>
              <w:top w:val="double" w:color="auto" w:sz="6" w:space="0"/>
              <w:bottom w:val="single" w:color="auto" w:sz="6" w:space="0"/>
            </w:tcBorders>
            <w:vAlign w:val="center"/>
          </w:tcPr>
          <w:p w14:paraId="5737BE4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80" w:type="dxa"/>
            <w:tcBorders>
              <w:top w:val="double" w:color="auto" w:sz="6" w:space="0"/>
              <w:bottom w:val="single" w:color="auto" w:sz="6" w:space="0"/>
            </w:tcBorders>
            <w:vAlign w:val="center"/>
          </w:tcPr>
          <w:p w14:paraId="27FFA7F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20" w:type="dxa"/>
            <w:tcBorders>
              <w:top w:val="double" w:color="auto" w:sz="6" w:space="0"/>
              <w:bottom w:val="single" w:color="auto" w:sz="6" w:space="0"/>
            </w:tcBorders>
            <w:vAlign w:val="center"/>
          </w:tcPr>
          <w:p w14:paraId="5E2DDA7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21" w:type="dxa"/>
            <w:tcBorders>
              <w:top w:val="double" w:color="auto" w:sz="6" w:space="0"/>
              <w:bottom w:val="single" w:color="auto" w:sz="6" w:space="0"/>
            </w:tcBorders>
            <w:vAlign w:val="center"/>
          </w:tcPr>
          <w:p w14:paraId="774E544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2931E2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14:paraId="4699278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Borders>
              <w:top w:val="nil"/>
            </w:tcBorders>
            <w:vAlign w:val="center"/>
          </w:tcPr>
          <w:p w14:paraId="070EBD1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tcBorders>
              <w:top w:val="nil"/>
            </w:tcBorders>
            <w:vAlign w:val="center"/>
          </w:tcPr>
          <w:p w14:paraId="714BE31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58" w:type="dxa"/>
            <w:tcBorders>
              <w:top w:val="nil"/>
            </w:tcBorders>
            <w:vAlign w:val="center"/>
          </w:tcPr>
          <w:p w14:paraId="73EA222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80" w:type="dxa"/>
            <w:tcBorders>
              <w:top w:val="nil"/>
            </w:tcBorders>
            <w:vAlign w:val="center"/>
          </w:tcPr>
          <w:p w14:paraId="2E38021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20" w:type="dxa"/>
            <w:tcBorders>
              <w:top w:val="nil"/>
            </w:tcBorders>
            <w:vAlign w:val="center"/>
          </w:tcPr>
          <w:p w14:paraId="065E8EB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80" w:type="dxa"/>
            <w:tcBorders>
              <w:top w:val="nil"/>
            </w:tcBorders>
            <w:vAlign w:val="center"/>
          </w:tcPr>
          <w:p w14:paraId="1252FE4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20" w:type="dxa"/>
            <w:tcBorders>
              <w:top w:val="nil"/>
            </w:tcBorders>
            <w:vAlign w:val="center"/>
          </w:tcPr>
          <w:p w14:paraId="18CF48B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21" w:type="dxa"/>
            <w:tcBorders>
              <w:top w:val="nil"/>
            </w:tcBorders>
            <w:vAlign w:val="center"/>
          </w:tcPr>
          <w:p w14:paraId="607FA98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70ED8A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03A41F0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0314030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vAlign w:val="center"/>
          </w:tcPr>
          <w:p w14:paraId="6E9C62A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58" w:type="dxa"/>
            <w:vAlign w:val="center"/>
          </w:tcPr>
          <w:p w14:paraId="1390FCE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80" w:type="dxa"/>
            <w:vAlign w:val="center"/>
          </w:tcPr>
          <w:p w14:paraId="7472F72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20" w:type="dxa"/>
            <w:vAlign w:val="center"/>
          </w:tcPr>
          <w:p w14:paraId="74B1220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80" w:type="dxa"/>
            <w:vAlign w:val="center"/>
          </w:tcPr>
          <w:p w14:paraId="1D38285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20" w:type="dxa"/>
            <w:vAlign w:val="center"/>
          </w:tcPr>
          <w:p w14:paraId="4DD09E9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21" w:type="dxa"/>
            <w:vAlign w:val="center"/>
          </w:tcPr>
          <w:p w14:paraId="73219B6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59BD57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44FC980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7247413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vAlign w:val="center"/>
          </w:tcPr>
          <w:p w14:paraId="64FFE7B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58" w:type="dxa"/>
            <w:vAlign w:val="center"/>
          </w:tcPr>
          <w:p w14:paraId="447DB18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80" w:type="dxa"/>
            <w:vAlign w:val="center"/>
          </w:tcPr>
          <w:p w14:paraId="7DD2DE8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20" w:type="dxa"/>
            <w:vAlign w:val="center"/>
          </w:tcPr>
          <w:p w14:paraId="4C36C88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80" w:type="dxa"/>
            <w:vAlign w:val="center"/>
          </w:tcPr>
          <w:p w14:paraId="0D4D641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20" w:type="dxa"/>
            <w:vAlign w:val="center"/>
          </w:tcPr>
          <w:p w14:paraId="0542771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21" w:type="dxa"/>
            <w:vAlign w:val="center"/>
          </w:tcPr>
          <w:p w14:paraId="0C8478B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3A6405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5176B50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026F60C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vAlign w:val="center"/>
          </w:tcPr>
          <w:p w14:paraId="7FAED22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58" w:type="dxa"/>
            <w:vAlign w:val="center"/>
          </w:tcPr>
          <w:p w14:paraId="1032924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80" w:type="dxa"/>
            <w:vAlign w:val="center"/>
          </w:tcPr>
          <w:p w14:paraId="66CAFE0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20" w:type="dxa"/>
            <w:vAlign w:val="center"/>
          </w:tcPr>
          <w:p w14:paraId="4ACFE7C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80" w:type="dxa"/>
            <w:vAlign w:val="center"/>
          </w:tcPr>
          <w:p w14:paraId="68A747A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20" w:type="dxa"/>
            <w:vAlign w:val="center"/>
          </w:tcPr>
          <w:p w14:paraId="40ABFF1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21" w:type="dxa"/>
            <w:vAlign w:val="center"/>
          </w:tcPr>
          <w:p w14:paraId="793F214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4E69D6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143D7C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59C4F21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vAlign w:val="center"/>
          </w:tcPr>
          <w:p w14:paraId="751C1F8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58" w:type="dxa"/>
            <w:vAlign w:val="center"/>
          </w:tcPr>
          <w:p w14:paraId="2ACD8D7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80" w:type="dxa"/>
            <w:vAlign w:val="center"/>
          </w:tcPr>
          <w:p w14:paraId="6865D28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20" w:type="dxa"/>
            <w:vAlign w:val="center"/>
          </w:tcPr>
          <w:p w14:paraId="7652F05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80" w:type="dxa"/>
            <w:vAlign w:val="center"/>
          </w:tcPr>
          <w:p w14:paraId="2B7317F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20" w:type="dxa"/>
            <w:vAlign w:val="center"/>
          </w:tcPr>
          <w:p w14:paraId="133EEAD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21" w:type="dxa"/>
            <w:vAlign w:val="center"/>
          </w:tcPr>
          <w:p w14:paraId="5CC9683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0E52B6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50135DE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709D513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vAlign w:val="center"/>
          </w:tcPr>
          <w:p w14:paraId="46E47ED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58" w:type="dxa"/>
            <w:vAlign w:val="center"/>
          </w:tcPr>
          <w:p w14:paraId="4BCD235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80" w:type="dxa"/>
            <w:vAlign w:val="center"/>
          </w:tcPr>
          <w:p w14:paraId="345297B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20" w:type="dxa"/>
            <w:vAlign w:val="center"/>
          </w:tcPr>
          <w:p w14:paraId="6B7A96D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80" w:type="dxa"/>
            <w:vAlign w:val="center"/>
          </w:tcPr>
          <w:p w14:paraId="432D8F5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20" w:type="dxa"/>
            <w:vAlign w:val="center"/>
          </w:tcPr>
          <w:p w14:paraId="35F4CB7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21" w:type="dxa"/>
            <w:vAlign w:val="center"/>
          </w:tcPr>
          <w:p w14:paraId="5826862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74784F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1B86BA0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5861090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vAlign w:val="center"/>
          </w:tcPr>
          <w:p w14:paraId="0428616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58" w:type="dxa"/>
            <w:vAlign w:val="center"/>
          </w:tcPr>
          <w:p w14:paraId="46233DA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80" w:type="dxa"/>
            <w:vAlign w:val="center"/>
          </w:tcPr>
          <w:p w14:paraId="64883AF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20" w:type="dxa"/>
            <w:vAlign w:val="center"/>
          </w:tcPr>
          <w:p w14:paraId="386F05B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80" w:type="dxa"/>
            <w:vAlign w:val="center"/>
          </w:tcPr>
          <w:p w14:paraId="6008BB2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20" w:type="dxa"/>
            <w:vAlign w:val="center"/>
          </w:tcPr>
          <w:p w14:paraId="32E5B69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21" w:type="dxa"/>
            <w:vAlign w:val="center"/>
          </w:tcPr>
          <w:p w14:paraId="12D4499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2D5C24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3642A406">
            <w:pPr>
              <w:spacing w:line="340" w:lineRule="exact"/>
              <w:rPr>
                <w:rFonts w:ascii="宋体" w:hAnsi="宋体" w:cs="宋体"/>
                <w:color w:val="000000" w:themeColor="text1"/>
                <w:kern w:val="21"/>
                <w:szCs w:val="21"/>
                <w:highlight w:val="none"/>
                <w14:textFill>
                  <w14:solidFill>
                    <w14:schemeClr w14:val="tx1"/>
                  </w14:solidFill>
                </w14:textFill>
              </w:rPr>
            </w:pPr>
          </w:p>
        </w:tc>
        <w:tc>
          <w:tcPr>
            <w:tcW w:w="1418" w:type="dxa"/>
          </w:tcPr>
          <w:p w14:paraId="68721B46">
            <w:pPr>
              <w:spacing w:line="340" w:lineRule="exact"/>
              <w:rPr>
                <w:rFonts w:ascii="宋体" w:hAnsi="宋体" w:cs="宋体"/>
                <w:color w:val="000000" w:themeColor="text1"/>
                <w:kern w:val="21"/>
                <w:szCs w:val="21"/>
                <w:highlight w:val="none"/>
                <w14:textFill>
                  <w14:solidFill>
                    <w14:schemeClr w14:val="tx1"/>
                  </w14:solidFill>
                </w14:textFill>
              </w:rPr>
            </w:pPr>
          </w:p>
        </w:tc>
        <w:tc>
          <w:tcPr>
            <w:tcW w:w="850" w:type="dxa"/>
          </w:tcPr>
          <w:p w14:paraId="2F8310F0">
            <w:pPr>
              <w:spacing w:line="340" w:lineRule="exact"/>
              <w:rPr>
                <w:rFonts w:ascii="宋体" w:hAnsi="宋体" w:cs="宋体"/>
                <w:color w:val="000000" w:themeColor="text1"/>
                <w:kern w:val="21"/>
                <w:szCs w:val="21"/>
                <w:highlight w:val="none"/>
                <w14:textFill>
                  <w14:solidFill>
                    <w14:schemeClr w14:val="tx1"/>
                  </w14:solidFill>
                </w14:textFill>
              </w:rPr>
            </w:pPr>
          </w:p>
        </w:tc>
        <w:tc>
          <w:tcPr>
            <w:tcW w:w="1058" w:type="dxa"/>
          </w:tcPr>
          <w:p w14:paraId="426E6097">
            <w:pPr>
              <w:spacing w:line="340" w:lineRule="exact"/>
              <w:rPr>
                <w:rFonts w:ascii="宋体" w:hAnsi="宋体" w:cs="宋体"/>
                <w:color w:val="000000" w:themeColor="text1"/>
                <w:kern w:val="21"/>
                <w:szCs w:val="21"/>
                <w:highlight w:val="none"/>
                <w14:textFill>
                  <w14:solidFill>
                    <w14:schemeClr w14:val="tx1"/>
                  </w14:solidFill>
                </w14:textFill>
              </w:rPr>
            </w:pPr>
          </w:p>
        </w:tc>
        <w:tc>
          <w:tcPr>
            <w:tcW w:w="880" w:type="dxa"/>
          </w:tcPr>
          <w:p w14:paraId="0AF65B2B">
            <w:pPr>
              <w:spacing w:line="340" w:lineRule="exact"/>
              <w:rPr>
                <w:rFonts w:ascii="宋体" w:hAnsi="宋体" w:cs="宋体"/>
                <w:color w:val="000000" w:themeColor="text1"/>
                <w:kern w:val="21"/>
                <w:szCs w:val="21"/>
                <w:highlight w:val="none"/>
                <w14:textFill>
                  <w14:solidFill>
                    <w14:schemeClr w14:val="tx1"/>
                  </w14:solidFill>
                </w14:textFill>
              </w:rPr>
            </w:pPr>
          </w:p>
        </w:tc>
        <w:tc>
          <w:tcPr>
            <w:tcW w:w="1020" w:type="dxa"/>
          </w:tcPr>
          <w:p w14:paraId="26634FEC">
            <w:pPr>
              <w:spacing w:line="340" w:lineRule="exact"/>
              <w:rPr>
                <w:rFonts w:ascii="宋体" w:hAnsi="宋体" w:cs="宋体"/>
                <w:color w:val="000000" w:themeColor="text1"/>
                <w:kern w:val="21"/>
                <w:szCs w:val="21"/>
                <w:highlight w:val="none"/>
                <w14:textFill>
                  <w14:solidFill>
                    <w14:schemeClr w14:val="tx1"/>
                  </w14:solidFill>
                </w14:textFill>
              </w:rPr>
            </w:pPr>
          </w:p>
        </w:tc>
        <w:tc>
          <w:tcPr>
            <w:tcW w:w="1480" w:type="dxa"/>
          </w:tcPr>
          <w:p w14:paraId="4BC5533C">
            <w:pPr>
              <w:spacing w:line="340" w:lineRule="exact"/>
              <w:rPr>
                <w:rFonts w:ascii="宋体" w:hAnsi="宋体" w:cs="宋体"/>
                <w:color w:val="000000" w:themeColor="text1"/>
                <w:kern w:val="21"/>
                <w:szCs w:val="21"/>
                <w:highlight w:val="none"/>
                <w14:textFill>
                  <w14:solidFill>
                    <w14:schemeClr w14:val="tx1"/>
                  </w14:solidFill>
                </w14:textFill>
              </w:rPr>
            </w:pPr>
          </w:p>
        </w:tc>
        <w:tc>
          <w:tcPr>
            <w:tcW w:w="1020" w:type="dxa"/>
          </w:tcPr>
          <w:p w14:paraId="2CE5FDCD">
            <w:pPr>
              <w:spacing w:line="340" w:lineRule="exact"/>
              <w:rPr>
                <w:rFonts w:ascii="宋体" w:hAnsi="宋体" w:cs="宋体"/>
                <w:color w:val="000000" w:themeColor="text1"/>
                <w:kern w:val="21"/>
                <w:szCs w:val="21"/>
                <w:highlight w:val="none"/>
                <w14:textFill>
                  <w14:solidFill>
                    <w14:schemeClr w14:val="tx1"/>
                  </w14:solidFill>
                </w14:textFill>
              </w:rPr>
            </w:pPr>
          </w:p>
        </w:tc>
        <w:tc>
          <w:tcPr>
            <w:tcW w:w="921" w:type="dxa"/>
          </w:tcPr>
          <w:p w14:paraId="12F288D9">
            <w:pPr>
              <w:spacing w:line="340" w:lineRule="exact"/>
              <w:rPr>
                <w:rFonts w:ascii="宋体" w:hAnsi="宋体" w:cs="宋体"/>
                <w:color w:val="000000" w:themeColor="text1"/>
                <w:kern w:val="21"/>
                <w:szCs w:val="21"/>
                <w:highlight w:val="none"/>
                <w14:textFill>
                  <w14:solidFill>
                    <w14:schemeClr w14:val="tx1"/>
                  </w14:solidFill>
                </w14:textFill>
              </w:rPr>
            </w:pPr>
          </w:p>
        </w:tc>
      </w:tr>
      <w:tr w14:paraId="3E1164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4885885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3423839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0" w:type="dxa"/>
            <w:vAlign w:val="center"/>
          </w:tcPr>
          <w:p w14:paraId="423B0A5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58" w:type="dxa"/>
            <w:vAlign w:val="center"/>
          </w:tcPr>
          <w:p w14:paraId="25DD8DF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80" w:type="dxa"/>
            <w:vAlign w:val="center"/>
          </w:tcPr>
          <w:p w14:paraId="5EE7EA1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20" w:type="dxa"/>
            <w:vAlign w:val="center"/>
          </w:tcPr>
          <w:p w14:paraId="73EC810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80" w:type="dxa"/>
            <w:vAlign w:val="center"/>
          </w:tcPr>
          <w:p w14:paraId="650D0D3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020" w:type="dxa"/>
            <w:vAlign w:val="center"/>
          </w:tcPr>
          <w:p w14:paraId="0C5A514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921" w:type="dxa"/>
            <w:vAlign w:val="center"/>
          </w:tcPr>
          <w:p w14:paraId="2D1430A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08A673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589CF67E">
            <w:pPr>
              <w:spacing w:line="340" w:lineRule="exact"/>
              <w:rPr>
                <w:rFonts w:ascii="宋体" w:hAnsi="宋体" w:cs="宋体"/>
                <w:color w:val="000000" w:themeColor="text1"/>
                <w:kern w:val="21"/>
                <w:szCs w:val="21"/>
                <w:highlight w:val="none"/>
                <w14:textFill>
                  <w14:solidFill>
                    <w14:schemeClr w14:val="tx1"/>
                  </w14:solidFill>
                </w14:textFill>
              </w:rPr>
            </w:pPr>
          </w:p>
        </w:tc>
        <w:tc>
          <w:tcPr>
            <w:tcW w:w="1418" w:type="dxa"/>
          </w:tcPr>
          <w:p w14:paraId="2E9A61D1">
            <w:pPr>
              <w:spacing w:line="340" w:lineRule="exact"/>
              <w:rPr>
                <w:rFonts w:ascii="宋体" w:hAnsi="宋体" w:cs="宋体"/>
                <w:color w:val="000000" w:themeColor="text1"/>
                <w:kern w:val="21"/>
                <w:szCs w:val="21"/>
                <w:highlight w:val="none"/>
                <w14:textFill>
                  <w14:solidFill>
                    <w14:schemeClr w14:val="tx1"/>
                  </w14:solidFill>
                </w14:textFill>
              </w:rPr>
            </w:pPr>
          </w:p>
        </w:tc>
        <w:tc>
          <w:tcPr>
            <w:tcW w:w="850" w:type="dxa"/>
          </w:tcPr>
          <w:p w14:paraId="7A09EE8D">
            <w:pPr>
              <w:spacing w:line="340" w:lineRule="exact"/>
              <w:rPr>
                <w:rFonts w:ascii="宋体" w:hAnsi="宋体" w:cs="宋体"/>
                <w:color w:val="000000" w:themeColor="text1"/>
                <w:kern w:val="21"/>
                <w:szCs w:val="21"/>
                <w:highlight w:val="none"/>
                <w14:textFill>
                  <w14:solidFill>
                    <w14:schemeClr w14:val="tx1"/>
                  </w14:solidFill>
                </w14:textFill>
              </w:rPr>
            </w:pPr>
          </w:p>
        </w:tc>
        <w:tc>
          <w:tcPr>
            <w:tcW w:w="1058" w:type="dxa"/>
          </w:tcPr>
          <w:p w14:paraId="585E5E21">
            <w:pPr>
              <w:spacing w:line="340" w:lineRule="exact"/>
              <w:rPr>
                <w:rFonts w:ascii="宋体" w:hAnsi="宋体" w:cs="宋体"/>
                <w:color w:val="000000" w:themeColor="text1"/>
                <w:kern w:val="21"/>
                <w:szCs w:val="21"/>
                <w:highlight w:val="none"/>
                <w14:textFill>
                  <w14:solidFill>
                    <w14:schemeClr w14:val="tx1"/>
                  </w14:solidFill>
                </w14:textFill>
              </w:rPr>
            </w:pPr>
          </w:p>
        </w:tc>
        <w:tc>
          <w:tcPr>
            <w:tcW w:w="880" w:type="dxa"/>
          </w:tcPr>
          <w:p w14:paraId="1C581AFE">
            <w:pPr>
              <w:spacing w:line="340" w:lineRule="exact"/>
              <w:rPr>
                <w:rFonts w:ascii="宋体" w:hAnsi="宋体" w:cs="宋体"/>
                <w:color w:val="000000" w:themeColor="text1"/>
                <w:kern w:val="21"/>
                <w:szCs w:val="21"/>
                <w:highlight w:val="none"/>
                <w14:textFill>
                  <w14:solidFill>
                    <w14:schemeClr w14:val="tx1"/>
                  </w14:solidFill>
                </w14:textFill>
              </w:rPr>
            </w:pPr>
          </w:p>
        </w:tc>
        <w:tc>
          <w:tcPr>
            <w:tcW w:w="1020" w:type="dxa"/>
          </w:tcPr>
          <w:p w14:paraId="5413837A">
            <w:pPr>
              <w:spacing w:line="340" w:lineRule="exact"/>
              <w:rPr>
                <w:rFonts w:ascii="宋体" w:hAnsi="宋体" w:cs="宋体"/>
                <w:color w:val="000000" w:themeColor="text1"/>
                <w:kern w:val="21"/>
                <w:szCs w:val="21"/>
                <w:highlight w:val="none"/>
                <w14:textFill>
                  <w14:solidFill>
                    <w14:schemeClr w14:val="tx1"/>
                  </w14:solidFill>
                </w14:textFill>
              </w:rPr>
            </w:pPr>
          </w:p>
        </w:tc>
        <w:tc>
          <w:tcPr>
            <w:tcW w:w="1480" w:type="dxa"/>
          </w:tcPr>
          <w:p w14:paraId="798DF743">
            <w:pPr>
              <w:spacing w:line="340" w:lineRule="exact"/>
              <w:rPr>
                <w:rFonts w:ascii="宋体" w:hAnsi="宋体" w:cs="宋体"/>
                <w:color w:val="000000" w:themeColor="text1"/>
                <w:kern w:val="21"/>
                <w:szCs w:val="21"/>
                <w:highlight w:val="none"/>
                <w14:textFill>
                  <w14:solidFill>
                    <w14:schemeClr w14:val="tx1"/>
                  </w14:solidFill>
                </w14:textFill>
              </w:rPr>
            </w:pPr>
          </w:p>
        </w:tc>
        <w:tc>
          <w:tcPr>
            <w:tcW w:w="1020" w:type="dxa"/>
          </w:tcPr>
          <w:p w14:paraId="598DDC07">
            <w:pPr>
              <w:spacing w:line="340" w:lineRule="exact"/>
              <w:rPr>
                <w:rFonts w:ascii="宋体" w:hAnsi="宋体" w:cs="宋体"/>
                <w:color w:val="000000" w:themeColor="text1"/>
                <w:kern w:val="21"/>
                <w:szCs w:val="21"/>
                <w:highlight w:val="none"/>
                <w14:textFill>
                  <w14:solidFill>
                    <w14:schemeClr w14:val="tx1"/>
                  </w14:solidFill>
                </w14:textFill>
              </w:rPr>
            </w:pPr>
          </w:p>
        </w:tc>
        <w:tc>
          <w:tcPr>
            <w:tcW w:w="921" w:type="dxa"/>
          </w:tcPr>
          <w:p w14:paraId="7868D51C">
            <w:pPr>
              <w:spacing w:line="340" w:lineRule="exact"/>
              <w:rPr>
                <w:rFonts w:ascii="宋体" w:hAnsi="宋体" w:cs="宋体"/>
                <w:color w:val="000000" w:themeColor="text1"/>
                <w:kern w:val="21"/>
                <w:szCs w:val="21"/>
                <w:highlight w:val="none"/>
                <w14:textFill>
                  <w14:solidFill>
                    <w14:schemeClr w14:val="tx1"/>
                  </w14:solidFill>
                </w14:textFill>
              </w:rPr>
            </w:pPr>
          </w:p>
        </w:tc>
      </w:tr>
      <w:tr w14:paraId="0D89B5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24CE5D79">
            <w:pPr>
              <w:spacing w:line="340" w:lineRule="exact"/>
              <w:rPr>
                <w:rFonts w:ascii="宋体" w:hAnsi="宋体" w:cs="宋体"/>
                <w:color w:val="000000" w:themeColor="text1"/>
                <w:kern w:val="21"/>
                <w:szCs w:val="21"/>
                <w:highlight w:val="none"/>
                <w14:textFill>
                  <w14:solidFill>
                    <w14:schemeClr w14:val="tx1"/>
                  </w14:solidFill>
                </w14:textFill>
              </w:rPr>
            </w:pPr>
          </w:p>
        </w:tc>
        <w:tc>
          <w:tcPr>
            <w:tcW w:w="1418" w:type="dxa"/>
          </w:tcPr>
          <w:p w14:paraId="0FD90D45">
            <w:pPr>
              <w:spacing w:line="340" w:lineRule="exact"/>
              <w:rPr>
                <w:rFonts w:ascii="宋体" w:hAnsi="宋体" w:cs="宋体"/>
                <w:color w:val="000000" w:themeColor="text1"/>
                <w:kern w:val="21"/>
                <w:szCs w:val="21"/>
                <w:highlight w:val="none"/>
                <w14:textFill>
                  <w14:solidFill>
                    <w14:schemeClr w14:val="tx1"/>
                  </w14:solidFill>
                </w14:textFill>
              </w:rPr>
            </w:pPr>
          </w:p>
        </w:tc>
        <w:tc>
          <w:tcPr>
            <w:tcW w:w="850" w:type="dxa"/>
          </w:tcPr>
          <w:p w14:paraId="5D8B9F2E">
            <w:pPr>
              <w:spacing w:line="340" w:lineRule="exact"/>
              <w:rPr>
                <w:rFonts w:ascii="宋体" w:hAnsi="宋体" w:cs="宋体"/>
                <w:color w:val="000000" w:themeColor="text1"/>
                <w:kern w:val="21"/>
                <w:szCs w:val="21"/>
                <w:highlight w:val="none"/>
                <w14:textFill>
                  <w14:solidFill>
                    <w14:schemeClr w14:val="tx1"/>
                  </w14:solidFill>
                </w14:textFill>
              </w:rPr>
            </w:pPr>
          </w:p>
        </w:tc>
        <w:tc>
          <w:tcPr>
            <w:tcW w:w="1058" w:type="dxa"/>
          </w:tcPr>
          <w:p w14:paraId="6D64AA85">
            <w:pPr>
              <w:spacing w:line="340" w:lineRule="exact"/>
              <w:rPr>
                <w:rFonts w:ascii="宋体" w:hAnsi="宋体" w:cs="宋体"/>
                <w:color w:val="000000" w:themeColor="text1"/>
                <w:kern w:val="21"/>
                <w:szCs w:val="21"/>
                <w:highlight w:val="none"/>
                <w14:textFill>
                  <w14:solidFill>
                    <w14:schemeClr w14:val="tx1"/>
                  </w14:solidFill>
                </w14:textFill>
              </w:rPr>
            </w:pPr>
          </w:p>
        </w:tc>
        <w:tc>
          <w:tcPr>
            <w:tcW w:w="880" w:type="dxa"/>
          </w:tcPr>
          <w:p w14:paraId="7AB0F2C8">
            <w:pPr>
              <w:spacing w:line="340" w:lineRule="exact"/>
              <w:rPr>
                <w:rFonts w:ascii="宋体" w:hAnsi="宋体" w:cs="宋体"/>
                <w:color w:val="000000" w:themeColor="text1"/>
                <w:kern w:val="21"/>
                <w:szCs w:val="21"/>
                <w:highlight w:val="none"/>
                <w14:textFill>
                  <w14:solidFill>
                    <w14:schemeClr w14:val="tx1"/>
                  </w14:solidFill>
                </w14:textFill>
              </w:rPr>
            </w:pPr>
          </w:p>
        </w:tc>
        <w:tc>
          <w:tcPr>
            <w:tcW w:w="1020" w:type="dxa"/>
          </w:tcPr>
          <w:p w14:paraId="7180E32A">
            <w:pPr>
              <w:spacing w:line="340" w:lineRule="exact"/>
              <w:rPr>
                <w:rFonts w:ascii="宋体" w:hAnsi="宋体" w:cs="宋体"/>
                <w:color w:val="000000" w:themeColor="text1"/>
                <w:kern w:val="21"/>
                <w:szCs w:val="21"/>
                <w:highlight w:val="none"/>
                <w14:textFill>
                  <w14:solidFill>
                    <w14:schemeClr w14:val="tx1"/>
                  </w14:solidFill>
                </w14:textFill>
              </w:rPr>
            </w:pPr>
          </w:p>
        </w:tc>
        <w:tc>
          <w:tcPr>
            <w:tcW w:w="1480" w:type="dxa"/>
          </w:tcPr>
          <w:p w14:paraId="48E355B3">
            <w:pPr>
              <w:spacing w:line="340" w:lineRule="exact"/>
              <w:rPr>
                <w:rFonts w:ascii="宋体" w:hAnsi="宋体" w:cs="宋体"/>
                <w:color w:val="000000" w:themeColor="text1"/>
                <w:kern w:val="21"/>
                <w:szCs w:val="21"/>
                <w:highlight w:val="none"/>
                <w14:textFill>
                  <w14:solidFill>
                    <w14:schemeClr w14:val="tx1"/>
                  </w14:solidFill>
                </w14:textFill>
              </w:rPr>
            </w:pPr>
          </w:p>
        </w:tc>
        <w:tc>
          <w:tcPr>
            <w:tcW w:w="1020" w:type="dxa"/>
          </w:tcPr>
          <w:p w14:paraId="47792F5F">
            <w:pPr>
              <w:spacing w:line="340" w:lineRule="exact"/>
              <w:rPr>
                <w:rFonts w:ascii="宋体" w:hAnsi="宋体" w:cs="宋体"/>
                <w:color w:val="000000" w:themeColor="text1"/>
                <w:kern w:val="21"/>
                <w:szCs w:val="21"/>
                <w:highlight w:val="none"/>
                <w14:textFill>
                  <w14:solidFill>
                    <w14:schemeClr w14:val="tx1"/>
                  </w14:solidFill>
                </w14:textFill>
              </w:rPr>
            </w:pPr>
          </w:p>
        </w:tc>
        <w:tc>
          <w:tcPr>
            <w:tcW w:w="921" w:type="dxa"/>
          </w:tcPr>
          <w:p w14:paraId="1E3F5037">
            <w:pPr>
              <w:spacing w:line="340" w:lineRule="exact"/>
              <w:rPr>
                <w:rFonts w:ascii="宋体" w:hAnsi="宋体" w:cs="宋体"/>
                <w:color w:val="000000" w:themeColor="text1"/>
                <w:kern w:val="21"/>
                <w:szCs w:val="21"/>
                <w:highlight w:val="none"/>
                <w14:textFill>
                  <w14:solidFill>
                    <w14:schemeClr w14:val="tx1"/>
                  </w14:solidFill>
                </w14:textFill>
              </w:rPr>
            </w:pPr>
          </w:p>
        </w:tc>
      </w:tr>
      <w:tr w14:paraId="7A39BE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206D1E68">
            <w:pPr>
              <w:spacing w:line="340" w:lineRule="exact"/>
              <w:rPr>
                <w:rFonts w:ascii="宋体" w:hAnsi="宋体" w:cs="宋体"/>
                <w:color w:val="000000" w:themeColor="text1"/>
                <w:kern w:val="21"/>
                <w:szCs w:val="21"/>
                <w:highlight w:val="none"/>
                <w14:textFill>
                  <w14:solidFill>
                    <w14:schemeClr w14:val="tx1"/>
                  </w14:solidFill>
                </w14:textFill>
              </w:rPr>
            </w:pPr>
          </w:p>
        </w:tc>
        <w:tc>
          <w:tcPr>
            <w:tcW w:w="1418" w:type="dxa"/>
          </w:tcPr>
          <w:p w14:paraId="15D01FCA">
            <w:pPr>
              <w:spacing w:line="340" w:lineRule="exact"/>
              <w:rPr>
                <w:rFonts w:ascii="宋体" w:hAnsi="宋体" w:cs="宋体"/>
                <w:color w:val="000000" w:themeColor="text1"/>
                <w:kern w:val="21"/>
                <w:szCs w:val="21"/>
                <w:highlight w:val="none"/>
                <w14:textFill>
                  <w14:solidFill>
                    <w14:schemeClr w14:val="tx1"/>
                  </w14:solidFill>
                </w14:textFill>
              </w:rPr>
            </w:pPr>
          </w:p>
        </w:tc>
        <w:tc>
          <w:tcPr>
            <w:tcW w:w="850" w:type="dxa"/>
          </w:tcPr>
          <w:p w14:paraId="104D21CC">
            <w:pPr>
              <w:spacing w:line="340" w:lineRule="exact"/>
              <w:rPr>
                <w:rFonts w:ascii="宋体" w:hAnsi="宋体" w:cs="宋体"/>
                <w:color w:val="000000" w:themeColor="text1"/>
                <w:kern w:val="21"/>
                <w:szCs w:val="21"/>
                <w:highlight w:val="none"/>
                <w14:textFill>
                  <w14:solidFill>
                    <w14:schemeClr w14:val="tx1"/>
                  </w14:solidFill>
                </w14:textFill>
              </w:rPr>
            </w:pPr>
          </w:p>
        </w:tc>
        <w:tc>
          <w:tcPr>
            <w:tcW w:w="1058" w:type="dxa"/>
          </w:tcPr>
          <w:p w14:paraId="38B5C03B">
            <w:pPr>
              <w:spacing w:line="340" w:lineRule="exact"/>
              <w:rPr>
                <w:rFonts w:ascii="宋体" w:hAnsi="宋体" w:cs="宋体"/>
                <w:color w:val="000000" w:themeColor="text1"/>
                <w:kern w:val="21"/>
                <w:szCs w:val="21"/>
                <w:highlight w:val="none"/>
                <w14:textFill>
                  <w14:solidFill>
                    <w14:schemeClr w14:val="tx1"/>
                  </w14:solidFill>
                </w14:textFill>
              </w:rPr>
            </w:pPr>
          </w:p>
        </w:tc>
        <w:tc>
          <w:tcPr>
            <w:tcW w:w="880" w:type="dxa"/>
          </w:tcPr>
          <w:p w14:paraId="172ACA93">
            <w:pPr>
              <w:spacing w:line="340" w:lineRule="exact"/>
              <w:rPr>
                <w:rFonts w:ascii="宋体" w:hAnsi="宋体" w:cs="宋体"/>
                <w:color w:val="000000" w:themeColor="text1"/>
                <w:kern w:val="21"/>
                <w:szCs w:val="21"/>
                <w:highlight w:val="none"/>
                <w14:textFill>
                  <w14:solidFill>
                    <w14:schemeClr w14:val="tx1"/>
                  </w14:solidFill>
                </w14:textFill>
              </w:rPr>
            </w:pPr>
          </w:p>
        </w:tc>
        <w:tc>
          <w:tcPr>
            <w:tcW w:w="1020" w:type="dxa"/>
          </w:tcPr>
          <w:p w14:paraId="1FEFDB10">
            <w:pPr>
              <w:spacing w:line="340" w:lineRule="exact"/>
              <w:rPr>
                <w:rFonts w:ascii="宋体" w:hAnsi="宋体" w:cs="宋体"/>
                <w:color w:val="000000" w:themeColor="text1"/>
                <w:kern w:val="21"/>
                <w:szCs w:val="21"/>
                <w:highlight w:val="none"/>
                <w14:textFill>
                  <w14:solidFill>
                    <w14:schemeClr w14:val="tx1"/>
                  </w14:solidFill>
                </w14:textFill>
              </w:rPr>
            </w:pPr>
          </w:p>
        </w:tc>
        <w:tc>
          <w:tcPr>
            <w:tcW w:w="1480" w:type="dxa"/>
          </w:tcPr>
          <w:p w14:paraId="6B96475B">
            <w:pPr>
              <w:spacing w:line="340" w:lineRule="exact"/>
              <w:rPr>
                <w:rFonts w:ascii="宋体" w:hAnsi="宋体" w:cs="宋体"/>
                <w:color w:val="000000" w:themeColor="text1"/>
                <w:kern w:val="21"/>
                <w:szCs w:val="21"/>
                <w:highlight w:val="none"/>
                <w14:textFill>
                  <w14:solidFill>
                    <w14:schemeClr w14:val="tx1"/>
                  </w14:solidFill>
                </w14:textFill>
              </w:rPr>
            </w:pPr>
          </w:p>
        </w:tc>
        <w:tc>
          <w:tcPr>
            <w:tcW w:w="1020" w:type="dxa"/>
          </w:tcPr>
          <w:p w14:paraId="1BD8F8F2">
            <w:pPr>
              <w:spacing w:line="340" w:lineRule="exact"/>
              <w:rPr>
                <w:rFonts w:ascii="宋体" w:hAnsi="宋体" w:cs="宋体"/>
                <w:color w:val="000000" w:themeColor="text1"/>
                <w:kern w:val="21"/>
                <w:szCs w:val="21"/>
                <w:highlight w:val="none"/>
                <w14:textFill>
                  <w14:solidFill>
                    <w14:schemeClr w14:val="tx1"/>
                  </w14:solidFill>
                </w14:textFill>
              </w:rPr>
            </w:pPr>
          </w:p>
        </w:tc>
        <w:tc>
          <w:tcPr>
            <w:tcW w:w="921" w:type="dxa"/>
          </w:tcPr>
          <w:p w14:paraId="4211D82D">
            <w:pPr>
              <w:spacing w:line="340" w:lineRule="exact"/>
              <w:rPr>
                <w:rFonts w:ascii="宋体" w:hAnsi="宋体" w:cs="宋体"/>
                <w:color w:val="000000" w:themeColor="text1"/>
                <w:kern w:val="21"/>
                <w:szCs w:val="21"/>
                <w:highlight w:val="none"/>
                <w14:textFill>
                  <w14:solidFill>
                    <w14:schemeClr w14:val="tx1"/>
                  </w14:solidFill>
                </w14:textFill>
              </w:rPr>
            </w:pPr>
          </w:p>
        </w:tc>
      </w:tr>
      <w:tr w14:paraId="557A67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740B4C3C">
            <w:pPr>
              <w:spacing w:line="340" w:lineRule="exact"/>
              <w:rPr>
                <w:rFonts w:ascii="宋体" w:hAnsi="宋体" w:cs="宋体"/>
                <w:color w:val="000000" w:themeColor="text1"/>
                <w:kern w:val="21"/>
                <w:szCs w:val="21"/>
                <w:highlight w:val="none"/>
                <w14:textFill>
                  <w14:solidFill>
                    <w14:schemeClr w14:val="tx1"/>
                  </w14:solidFill>
                </w14:textFill>
              </w:rPr>
            </w:pPr>
          </w:p>
        </w:tc>
        <w:tc>
          <w:tcPr>
            <w:tcW w:w="1418" w:type="dxa"/>
          </w:tcPr>
          <w:p w14:paraId="1824C481">
            <w:pPr>
              <w:spacing w:line="340" w:lineRule="exact"/>
              <w:rPr>
                <w:rFonts w:ascii="宋体" w:hAnsi="宋体" w:cs="宋体"/>
                <w:color w:val="000000" w:themeColor="text1"/>
                <w:kern w:val="21"/>
                <w:szCs w:val="21"/>
                <w:highlight w:val="none"/>
                <w14:textFill>
                  <w14:solidFill>
                    <w14:schemeClr w14:val="tx1"/>
                  </w14:solidFill>
                </w14:textFill>
              </w:rPr>
            </w:pPr>
          </w:p>
        </w:tc>
        <w:tc>
          <w:tcPr>
            <w:tcW w:w="850" w:type="dxa"/>
          </w:tcPr>
          <w:p w14:paraId="21878C4E">
            <w:pPr>
              <w:spacing w:line="340" w:lineRule="exact"/>
              <w:rPr>
                <w:rFonts w:ascii="宋体" w:hAnsi="宋体" w:cs="宋体"/>
                <w:color w:val="000000" w:themeColor="text1"/>
                <w:kern w:val="21"/>
                <w:szCs w:val="21"/>
                <w:highlight w:val="none"/>
                <w14:textFill>
                  <w14:solidFill>
                    <w14:schemeClr w14:val="tx1"/>
                  </w14:solidFill>
                </w14:textFill>
              </w:rPr>
            </w:pPr>
          </w:p>
        </w:tc>
        <w:tc>
          <w:tcPr>
            <w:tcW w:w="1058" w:type="dxa"/>
          </w:tcPr>
          <w:p w14:paraId="76646289">
            <w:pPr>
              <w:spacing w:line="340" w:lineRule="exact"/>
              <w:rPr>
                <w:rFonts w:ascii="宋体" w:hAnsi="宋体" w:cs="宋体"/>
                <w:color w:val="000000" w:themeColor="text1"/>
                <w:kern w:val="21"/>
                <w:szCs w:val="21"/>
                <w:highlight w:val="none"/>
                <w14:textFill>
                  <w14:solidFill>
                    <w14:schemeClr w14:val="tx1"/>
                  </w14:solidFill>
                </w14:textFill>
              </w:rPr>
            </w:pPr>
          </w:p>
        </w:tc>
        <w:tc>
          <w:tcPr>
            <w:tcW w:w="880" w:type="dxa"/>
          </w:tcPr>
          <w:p w14:paraId="79E22593">
            <w:pPr>
              <w:spacing w:line="340" w:lineRule="exact"/>
              <w:rPr>
                <w:rFonts w:ascii="宋体" w:hAnsi="宋体" w:cs="宋体"/>
                <w:color w:val="000000" w:themeColor="text1"/>
                <w:kern w:val="21"/>
                <w:szCs w:val="21"/>
                <w:highlight w:val="none"/>
                <w14:textFill>
                  <w14:solidFill>
                    <w14:schemeClr w14:val="tx1"/>
                  </w14:solidFill>
                </w14:textFill>
              </w:rPr>
            </w:pPr>
          </w:p>
        </w:tc>
        <w:tc>
          <w:tcPr>
            <w:tcW w:w="1020" w:type="dxa"/>
          </w:tcPr>
          <w:p w14:paraId="26FECFEC">
            <w:pPr>
              <w:spacing w:line="340" w:lineRule="exact"/>
              <w:rPr>
                <w:rFonts w:ascii="宋体" w:hAnsi="宋体" w:cs="宋体"/>
                <w:color w:val="000000" w:themeColor="text1"/>
                <w:kern w:val="21"/>
                <w:szCs w:val="21"/>
                <w:highlight w:val="none"/>
                <w14:textFill>
                  <w14:solidFill>
                    <w14:schemeClr w14:val="tx1"/>
                  </w14:solidFill>
                </w14:textFill>
              </w:rPr>
            </w:pPr>
          </w:p>
        </w:tc>
        <w:tc>
          <w:tcPr>
            <w:tcW w:w="1480" w:type="dxa"/>
          </w:tcPr>
          <w:p w14:paraId="2C5C6E66">
            <w:pPr>
              <w:spacing w:line="340" w:lineRule="exact"/>
              <w:rPr>
                <w:rFonts w:ascii="宋体" w:hAnsi="宋体" w:cs="宋体"/>
                <w:color w:val="000000" w:themeColor="text1"/>
                <w:kern w:val="21"/>
                <w:szCs w:val="21"/>
                <w:highlight w:val="none"/>
                <w14:textFill>
                  <w14:solidFill>
                    <w14:schemeClr w14:val="tx1"/>
                  </w14:solidFill>
                </w14:textFill>
              </w:rPr>
            </w:pPr>
          </w:p>
        </w:tc>
        <w:tc>
          <w:tcPr>
            <w:tcW w:w="1020" w:type="dxa"/>
          </w:tcPr>
          <w:p w14:paraId="7C2543C0">
            <w:pPr>
              <w:spacing w:line="340" w:lineRule="exact"/>
              <w:rPr>
                <w:rFonts w:ascii="宋体" w:hAnsi="宋体" w:cs="宋体"/>
                <w:color w:val="000000" w:themeColor="text1"/>
                <w:kern w:val="21"/>
                <w:szCs w:val="21"/>
                <w:highlight w:val="none"/>
                <w14:textFill>
                  <w14:solidFill>
                    <w14:schemeClr w14:val="tx1"/>
                  </w14:solidFill>
                </w14:textFill>
              </w:rPr>
            </w:pPr>
          </w:p>
        </w:tc>
        <w:tc>
          <w:tcPr>
            <w:tcW w:w="921" w:type="dxa"/>
          </w:tcPr>
          <w:p w14:paraId="52822B19">
            <w:pPr>
              <w:spacing w:line="340" w:lineRule="exact"/>
              <w:rPr>
                <w:rFonts w:ascii="宋体" w:hAnsi="宋体" w:cs="宋体"/>
                <w:color w:val="000000" w:themeColor="text1"/>
                <w:kern w:val="21"/>
                <w:szCs w:val="21"/>
                <w:highlight w:val="none"/>
                <w14:textFill>
                  <w14:solidFill>
                    <w14:schemeClr w14:val="tx1"/>
                  </w14:solidFill>
                </w14:textFill>
              </w:rPr>
            </w:pPr>
          </w:p>
        </w:tc>
      </w:tr>
      <w:tr w14:paraId="0737EF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7646C9E7">
            <w:pPr>
              <w:spacing w:line="340" w:lineRule="exact"/>
              <w:rPr>
                <w:rFonts w:ascii="宋体" w:hAnsi="宋体" w:cs="宋体"/>
                <w:color w:val="000000" w:themeColor="text1"/>
                <w:kern w:val="21"/>
                <w:szCs w:val="21"/>
                <w:highlight w:val="none"/>
                <w14:textFill>
                  <w14:solidFill>
                    <w14:schemeClr w14:val="tx1"/>
                  </w14:solidFill>
                </w14:textFill>
              </w:rPr>
            </w:pPr>
          </w:p>
        </w:tc>
        <w:tc>
          <w:tcPr>
            <w:tcW w:w="1418" w:type="dxa"/>
          </w:tcPr>
          <w:p w14:paraId="294678B8">
            <w:pPr>
              <w:spacing w:line="340" w:lineRule="exact"/>
              <w:rPr>
                <w:rFonts w:ascii="宋体" w:hAnsi="宋体" w:cs="宋体"/>
                <w:color w:val="000000" w:themeColor="text1"/>
                <w:kern w:val="21"/>
                <w:szCs w:val="21"/>
                <w:highlight w:val="none"/>
                <w14:textFill>
                  <w14:solidFill>
                    <w14:schemeClr w14:val="tx1"/>
                  </w14:solidFill>
                </w14:textFill>
              </w:rPr>
            </w:pPr>
          </w:p>
        </w:tc>
        <w:tc>
          <w:tcPr>
            <w:tcW w:w="850" w:type="dxa"/>
          </w:tcPr>
          <w:p w14:paraId="30EFCCA2">
            <w:pPr>
              <w:spacing w:line="340" w:lineRule="exact"/>
              <w:rPr>
                <w:rFonts w:ascii="宋体" w:hAnsi="宋体" w:cs="宋体"/>
                <w:color w:val="000000" w:themeColor="text1"/>
                <w:kern w:val="21"/>
                <w:szCs w:val="21"/>
                <w:highlight w:val="none"/>
                <w14:textFill>
                  <w14:solidFill>
                    <w14:schemeClr w14:val="tx1"/>
                  </w14:solidFill>
                </w14:textFill>
              </w:rPr>
            </w:pPr>
          </w:p>
        </w:tc>
        <w:tc>
          <w:tcPr>
            <w:tcW w:w="1058" w:type="dxa"/>
          </w:tcPr>
          <w:p w14:paraId="565E6960">
            <w:pPr>
              <w:spacing w:line="340" w:lineRule="exact"/>
              <w:rPr>
                <w:rFonts w:ascii="宋体" w:hAnsi="宋体" w:cs="宋体"/>
                <w:color w:val="000000" w:themeColor="text1"/>
                <w:kern w:val="21"/>
                <w:szCs w:val="21"/>
                <w:highlight w:val="none"/>
                <w14:textFill>
                  <w14:solidFill>
                    <w14:schemeClr w14:val="tx1"/>
                  </w14:solidFill>
                </w14:textFill>
              </w:rPr>
            </w:pPr>
          </w:p>
        </w:tc>
        <w:tc>
          <w:tcPr>
            <w:tcW w:w="880" w:type="dxa"/>
          </w:tcPr>
          <w:p w14:paraId="12F1DAF3">
            <w:pPr>
              <w:spacing w:line="340" w:lineRule="exact"/>
              <w:rPr>
                <w:rFonts w:ascii="宋体" w:hAnsi="宋体" w:cs="宋体"/>
                <w:color w:val="000000" w:themeColor="text1"/>
                <w:kern w:val="21"/>
                <w:szCs w:val="21"/>
                <w:highlight w:val="none"/>
                <w14:textFill>
                  <w14:solidFill>
                    <w14:schemeClr w14:val="tx1"/>
                  </w14:solidFill>
                </w14:textFill>
              </w:rPr>
            </w:pPr>
          </w:p>
        </w:tc>
        <w:tc>
          <w:tcPr>
            <w:tcW w:w="1020" w:type="dxa"/>
          </w:tcPr>
          <w:p w14:paraId="167A63CB">
            <w:pPr>
              <w:spacing w:line="340" w:lineRule="exact"/>
              <w:rPr>
                <w:rFonts w:ascii="宋体" w:hAnsi="宋体" w:cs="宋体"/>
                <w:color w:val="000000" w:themeColor="text1"/>
                <w:kern w:val="21"/>
                <w:szCs w:val="21"/>
                <w:highlight w:val="none"/>
                <w14:textFill>
                  <w14:solidFill>
                    <w14:schemeClr w14:val="tx1"/>
                  </w14:solidFill>
                </w14:textFill>
              </w:rPr>
            </w:pPr>
          </w:p>
        </w:tc>
        <w:tc>
          <w:tcPr>
            <w:tcW w:w="1480" w:type="dxa"/>
          </w:tcPr>
          <w:p w14:paraId="5571B60E">
            <w:pPr>
              <w:spacing w:line="340" w:lineRule="exact"/>
              <w:rPr>
                <w:rFonts w:ascii="宋体" w:hAnsi="宋体" w:cs="宋体"/>
                <w:color w:val="000000" w:themeColor="text1"/>
                <w:kern w:val="21"/>
                <w:szCs w:val="21"/>
                <w:highlight w:val="none"/>
                <w14:textFill>
                  <w14:solidFill>
                    <w14:schemeClr w14:val="tx1"/>
                  </w14:solidFill>
                </w14:textFill>
              </w:rPr>
            </w:pPr>
          </w:p>
        </w:tc>
        <w:tc>
          <w:tcPr>
            <w:tcW w:w="1020" w:type="dxa"/>
          </w:tcPr>
          <w:p w14:paraId="672D1DA7">
            <w:pPr>
              <w:spacing w:line="340" w:lineRule="exact"/>
              <w:rPr>
                <w:rFonts w:ascii="宋体" w:hAnsi="宋体" w:cs="宋体"/>
                <w:color w:val="000000" w:themeColor="text1"/>
                <w:kern w:val="21"/>
                <w:szCs w:val="21"/>
                <w:highlight w:val="none"/>
                <w14:textFill>
                  <w14:solidFill>
                    <w14:schemeClr w14:val="tx1"/>
                  </w14:solidFill>
                </w14:textFill>
              </w:rPr>
            </w:pPr>
          </w:p>
        </w:tc>
        <w:tc>
          <w:tcPr>
            <w:tcW w:w="921" w:type="dxa"/>
          </w:tcPr>
          <w:p w14:paraId="1D37642D">
            <w:pPr>
              <w:spacing w:line="340" w:lineRule="exact"/>
              <w:rPr>
                <w:rFonts w:ascii="宋体" w:hAnsi="宋体" w:cs="宋体"/>
                <w:color w:val="000000" w:themeColor="text1"/>
                <w:kern w:val="21"/>
                <w:szCs w:val="21"/>
                <w:highlight w:val="none"/>
                <w14:textFill>
                  <w14:solidFill>
                    <w14:schemeClr w14:val="tx1"/>
                  </w14:solidFill>
                </w14:textFill>
              </w:rPr>
            </w:pPr>
          </w:p>
        </w:tc>
      </w:tr>
      <w:tr w14:paraId="7161EF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1A0D7339">
            <w:pPr>
              <w:spacing w:line="340" w:lineRule="exact"/>
              <w:rPr>
                <w:rFonts w:ascii="宋体" w:hAnsi="宋体" w:cs="宋体"/>
                <w:color w:val="000000" w:themeColor="text1"/>
                <w:kern w:val="21"/>
                <w:szCs w:val="21"/>
                <w:highlight w:val="none"/>
                <w14:textFill>
                  <w14:solidFill>
                    <w14:schemeClr w14:val="tx1"/>
                  </w14:solidFill>
                </w14:textFill>
              </w:rPr>
            </w:pPr>
          </w:p>
        </w:tc>
        <w:tc>
          <w:tcPr>
            <w:tcW w:w="1418" w:type="dxa"/>
          </w:tcPr>
          <w:p w14:paraId="1CC80DB8">
            <w:pPr>
              <w:spacing w:line="340" w:lineRule="exact"/>
              <w:rPr>
                <w:rFonts w:ascii="宋体" w:hAnsi="宋体" w:cs="宋体"/>
                <w:color w:val="000000" w:themeColor="text1"/>
                <w:kern w:val="21"/>
                <w:szCs w:val="21"/>
                <w:highlight w:val="none"/>
                <w14:textFill>
                  <w14:solidFill>
                    <w14:schemeClr w14:val="tx1"/>
                  </w14:solidFill>
                </w14:textFill>
              </w:rPr>
            </w:pPr>
          </w:p>
        </w:tc>
        <w:tc>
          <w:tcPr>
            <w:tcW w:w="850" w:type="dxa"/>
          </w:tcPr>
          <w:p w14:paraId="6F131D49">
            <w:pPr>
              <w:spacing w:line="340" w:lineRule="exact"/>
              <w:rPr>
                <w:rFonts w:ascii="宋体" w:hAnsi="宋体" w:cs="宋体"/>
                <w:color w:val="000000" w:themeColor="text1"/>
                <w:kern w:val="21"/>
                <w:szCs w:val="21"/>
                <w:highlight w:val="none"/>
                <w14:textFill>
                  <w14:solidFill>
                    <w14:schemeClr w14:val="tx1"/>
                  </w14:solidFill>
                </w14:textFill>
              </w:rPr>
            </w:pPr>
          </w:p>
        </w:tc>
        <w:tc>
          <w:tcPr>
            <w:tcW w:w="1058" w:type="dxa"/>
          </w:tcPr>
          <w:p w14:paraId="4A079407">
            <w:pPr>
              <w:spacing w:line="340" w:lineRule="exact"/>
              <w:rPr>
                <w:rFonts w:ascii="宋体" w:hAnsi="宋体" w:cs="宋体"/>
                <w:color w:val="000000" w:themeColor="text1"/>
                <w:kern w:val="21"/>
                <w:szCs w:val="21"/>
                <w:highlight w:val="none"/>
                <w14:textFill>
                  <w14:solidFill>
                    <w14:schemeClr w14:val="tx1"/>
                  </w14:solidFill>
                </w14:textFill>
              </w:rPr>
            </w:pPr>
          </w:p>
        </w:tc>
        <w:tc>
          <w:tcPr>
            <w:tcW w:w="880" w:type="dxa"/>
          </w:tcPr>
          <w:p w14:paraId="7532CDEA">
            <w:pPr>
              <w:spacing w:line="340" w:lineRule="exact"/>
              <w:rPr>
                <w:rFonts w:ascii="宋体" w:hAnsi="宋体" w:cs="宋体"/>
                <w:color w:val="000000" w:themeColor="text1"/>
                <w:kern w:val="21"/>
                <w:szCs w:val="21"/>
                <w:highlight w:val="none"/>
                <w14:textFill>
                  <w14:solidFill>
                    <w14:schemeClr w14:val="tx1"/>
                  </w14:solidFill>
                </w14:textFill>
              </w:rPr>
            </w:pPr>
          </w:p>
        </w:tc>
        <w:tc>
          <w:tcPr>
            <w:tcW w:w="1020" w:type="dxa"/>
          </w:tcPr>
          <w:p w14:paraId="6438F692">
            <w:pPr>
              <w:spacing w:line="340" w:lineRule="exact"/>
              <w:rPr>
                <w:rFonts w:ascii="宋体" w:hAnsi="宋体" w:cs="宋体"/>
                <w:color w:val="000000" w:themeColor="text1"/>
                <w:kern w:val="21"/>
                <w:szCs w:val="21"/>
                <w:highlight w:val="none"/>
                <w14:textFill>
                  <w14:solidFill>
                    <w14:schemeClr w14:val="tx1"/>
                  </w14:solidFill>
                </w14:textFill>
              </w:rPr>
            </w:pPr>
          </w:p>
        </w:tc>
        <w:tc>
          <w:tcPr>
            <w:tcW w:w="1480" w:type="dxa"/>
          </w:tcPr>
          <w:p w14:paraId="6C607832">
            <w:pPr>
              <w:spacing w:line="340" w:lineRule="exact"/>
              <w:rPr>
                <w:rFonts w:ascii="宋体" w:hAnsi="宋体" w:cs="宋体"/>
                <w:color w:val="000000" w:themeColor="text1"/>
                <w:kern w:val="21"/>
                <w:szCs w:val="21"/>
                <w:highlight w:val="none"/>
                <w14:textFill>
                  <w14:solidFill>
                    <w14:schemeClr w14:val="tx1"/>
                  </w14:solidFill>
                </w14:textFill>
              </w:rPr>
            </w:pPr>
          </w:p>
        </w:tc>
        <w:tc>
          <w:tcPr>
            <w:tcW w:w="1020" w:type="dxa"/>
          </w:tcPr>
          <w:p w14:paraId="680248F2">
            <w:pPr>
              <w:spacing w:line="340" w:lineRule="exact"/>
              <w:rPr>
                <w:rFonts w:ascii="宋体" w:hAnsi="宋体" w:cs="宋体"/>
                <w:color w:val="000000" w:themeColor="text1"/>
                <w:kern w:val="21"/>
                <w:szCs w:val="21"/>
                <w:highlight w:val="none"/>
                <w14:textFill>
                  <w14:solidFill>
                    <w14:schemeClr w14:val="tx1"/>
                  </w14:solidFill>
                </w14:textFill>
              </w:rPr>
            </w:pPr>
          </w:p>
        </w:tc>
        <w:tc>
          <w:tcPr>
            <w:tcW w:w="921" w:type="dxa"/>
          </w:tcPr>
          <w:p w14:paraId="24034666">
            <w:pPr>
              <w:spacing w:line="340" w:lineRule="exact"/>
              <w:rPr>
                <w:rFonts w:ascii="宋体" w:hAnsi="宋体" w:cs="宋体"/>
                <w:color w:val="000000" w:themeColor="text1"/>
                <w:kern w:val="21"/>
                <w:szCs w:val="21"/>
                <w:highlight w:val="none"/>
                <w14:textFill>
                  <w14:solidFill>
                    <w14:schemeClr w14:val="tx1"/>
                  </w14:solidFill>
                </w14:textFill>
              </w:rPr>
            </w:pPr>
          </w:p>
        </w:tc>
      </w:tr>
      <w:tr w14:paraId="0B30C5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40AECDEB">
            <w:pPr>
              <w:spacing w:line="340" w:lineRule="exact"/>
              <w:rPr>
                <w:rFonts w:ascii="宋体" w:hAnsi="宋体" w:cs="宋体"/>
                <w:color w:val="000000" w:themeColor="text1"/>
                <w:kern w:val="21"/>
                <w:szCs w:val="21"/>
                <w:highlight w:val="none"/>
                <w14:textFill>
                  <w14:solidFill>
                    <w14:schemeClr w14:val="tx1"/>
                  </w14:solidFill>
                </w14:textFill>
              </w:rPr>
            </w:pPr>
          </w:p>
        </w:tc>
        <w:tc>
          <w:tcPr>
            <w:tcW w:w="1418" w:type="dxa"/>
          </w:tcPr>
          <w:p w14:paraId="2B608931">
            <w:pPr>
              <w:spacing w:line="340" w:lineRule="exact"/>
              <w:rPr>
                <w:rFonts w:ascii="宋体" w:hAnsi="宋体" w:cs="宋体"/>
                <w:color w:val="000000" w:themeColor="text1"/>
                <w:kern w:val="21"/>
                <w:szCs w:val="21"/>
                <w:highlight w:val="none"/>
                <w14:textFill>
                  <w14:solidFill>
                    <w14:schemeClr w14:val="tx1"/>
                  </w14:solidFill>
                </w14:textFill>
              </w:rPr>
            </w:pPr>
          </w:p>
        </w:tc>
        <w:tc>
          <w:tcPr>
            <w:tcW w:w="850" w:type="dxa"/>
          </w:tcPr>
          <w:p w14:paraId="05F5FC2A">
            <w:pPr>
              <w:spacing w:line="340" w:lineRule="exact"/>
              <w:rPr>
                <w:rFonts w:ascii="宋体" w:hAnsi="宋体" w:cs="宋体"/>
                <w:color w:val="000000" w:themeColor="text1"/>
                <w:kern w:val="21"/>
                <w:szCs w:val="21"/>
                <w:highlight w:val="none"/>
                <w14:textFill>
                  <w14:solidFill>
                    <w14:schemeClr w14:val="tx1"/>
                  </w14:solidFill>
                </w14:textFill>
              </w:rPr>
            </w:pPr>
          </w:p>
        </w:tc>
        <w:tc>
          <w:tcPr>
            <w:tcW w:w="1058" w:type="dxa"/>
          </w:tcPr>
          <w:p w14:paraId="0C3CD953">
            <w:pPr>
              <w:spacing w:line="340" w:lineRule="exact"/>
              <w:rPr>
                <w:rFonts w:ascii="宋体" w:hAnsi="宋体" w:cs="宋体"/>
                <w:color w:val="000000" w:themeColor="text1"/>
                <w:kern w:val="21"/>
                <w:szCs w:val="21"/>
                <w:highlight w:val="none"/>
                <w14:textFill>
                  <w14:solidFill>
                    <w14:schemeClr w14:val="tx1"/>
                  </w14:solidFill>
                </w14:textFill>
              </w:rPr>
            </w:pPr>
          </w:p>
        </w:tc>
        <w:tc>
          <w:tcPr>
            <w:tcW w:w="880" w:type="dxa"/>
          </w:tcPr>
          <w:p w14:paraId="5EE7444C">
            <w:pPr>
              <w:spacing w:line="340" w:lineRule="exact"/>
              <w:rPr>
                <w:rFonts w:ascii="宋体" w:hAnsi="宋体" w:cs="宋体"/>
                <w:color w:val="000000" w:themeColor="text1"/>
                <w:kern w:val="21"/>
                <w:szCs w:val="21"/>
                <w:highlight w:val="none"/>
                <w14:textFill>
                  <w14:solidFill>
                    <w14:schemeClr w14:val="tx1"/>
                  </w14:solidFill>
                </w14:textFill>
              </w:rPr>
            </w:pPr>
          </w:p>
        </w:tc>
        <w:tc>
          <w:tcPr>
            <w:tcW w:w="1020" w:type="dxa"/>
          </w:tcPr>
          <w:p w14:paraId="52C490F8">
            <w:pPr>
              <w:spacing w:line="340" w:lineRule="exact"/>
              <w:rPr>
                <w:rFonts w:ascii="宋体" w:hAnsi="宋体" w:cs="宋体"/>
                <w:color w:val="000000" w:themeColor="text1"/>
                <w:kern w:val="21"/>
                <w:szCs w:val="21"/>
                <w:highlight w:val="none"/>
                <w14:textFill>
                  <w14:solidFill>
                    <w14:schemeClr w14:val="tx1"/>
                  </w14:solidFill>
                </w14:textFill>
              </w:rPr>
            </w:pPr>
          </w:p>
        </w:tc>
        <w:tc>
          <w:tcPr>
            <w:tcW w:w="1480" w:type="dxa"/>
          </w:tcPr>
          <w:p w14:paraId="7F2F2830">
            <w:pPr>
              <w:spacing w:line="340" w:lineRule="exact"/>
              <w:rPr>
                <w:rFonts w:ascii="宋体" w:hAnsi="宋体" w:cs="宋体"/>
                <w:color w:val="000000" w:themeColor="text1"/>
                <w:kern w:val="21"/>
                <w:szCs w:val="21"/>
                <w:highlight w:val="none"/>
                <w14:textFill>
                  <w14:solidFill>
                    <w14:schemeClr w14:val="tx1"/>
                  </w14:solidFill>
                </w14:textFill>
              </w:rPr>
            </w:pPr>
          </w:p>
        </w:tc>
        <w:tc>
          <w:tcPr>
            <w:tcW w:w="1020" w:type="dxa"/>
          </w:tcPr>
          <w:p w14:paraId="0B6CC037">
            <w:pPr>
              <w:spacing w:line="340" w:lineRule="exact"/>
              <w:rPr>
                <w:rFonts w:ascii="宋体" w:hAnsi="宋体" w:cs="宋体"/>
                <w:color w:val="000000" w:themeColor="text1"/>
                <w:kern w:val="21"/>
                <w:szCs w:val="21"/>
                <w:highlight w:val="none"/>
                <w14:textFill>
                  <w14:solidFill>
                    <w14:schemeClr w14:val="tx1"/>
                  </w14:solidFill>
                </w14:textFill>
              </w:rPr>
            </w:pPr>
          </w:p>
        </w:tc>
        <w:tc>
          <w:tcPr>
            <w:tcW w:w="921" w:type="dxa"/>
          </w:tcPr>
          <w:p w14:paraId="44D84344">
            <w:pPr>
              <w:spacing w:line="340" w:lineRule="exact"/>
              <w:rPr>
                <w:rFonts w:ascii="宋体" w:hAnsi="宋体" w:cs="宋体"/>
                <w:color w:val="000000" w:themeColor="text1"/>
                <w:kern w:val="21"/>
                <w:szCs w:val="21"/>
                <w:highlight w:val="none"/>
                <w14:textFill>
                  <w14:solidFill>
                    <w14:schemeClr w14:val="tx1"/>
                  </w14:solidFill>
                </w14:textFill>
              </w:rPr>
            </w:pPr>
          </w:p>
        </w:tc>
      </w:tr>
      <w:tr w14:paraId="5081C6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6F5312C0">
            <w:pPr>
              <w:spacing w:line="340" w:lineRule="exact"/>
              <w:rPr>
                <w:rFonts w:ascii="宋体" w:hAnsi="宋体" w:cs="宋体"/>
                <w:color w:val="000000" w:themeColor="text1"/>
                <w:kern w:val="21"/>
                <w:szCs w:val="21"/>
                <w:highlight w:val="none"/>
                <w14:textFill>
                  <w14:solidFill>
                    <w14:schemeClr w14:val="tx1"/>
                  </w14:solidFill>
                </w14:textFill>
              </w:rPr>
            </w:pPr>
          </w:p>
        </w:tc>
        <w:tc>
          <w:tcPr>
            <w:tcW w:w="1418" w:type="dxa"/>
          </w:tcPr>
          <w:p w14:paraId="7D70AA1E">
            <w:pPr>
              <w:spacing w:line="340" w:lineRule="exact"/>
              <w:rPr>
                <w:rFonts w:ascii="宋体" w:hAnsi="宋体" w:cs="宋体"/>
                <w:color w:val="000000" w:themeColor="text1"/>
                <w:kern w:val="21"/>
                <w:szCs w:val="21"/>
                <w:highlight w:val="none"/>
                <w14:textFill>
                  <w14:solidFill>
                    <w14:schemeClr w14:val="tx1"/>
                  </w14:solidFill>
                </w14:textFill>
              </w:rPr>
            </w:pPr>
          </w:p>
        </w:tc>
        <w:tc>
          <w:tcPr>
            <w:tcW w:w="850" w:type="dxa"/>
          </w:tcPr>
          <w:p w14:paraId="02F105CA">
            <w:pPr>
              <w:spacing w:line="340" w:lineRule="exact"/>
              <w:rPr>
                <w:rFonts w:ascii="宋体" w:hAnsi="宋体" w:cs="宋体"/>
                <w:color w:val="000000" w:themeColor="text1"/>
                <w:kern w:val="21"/>
                <w:szCs w:val="21"/>
                <w:highlight w:val="none"/>
                <w14:textFill>
                  <w14:solidFill>
                    <w14:schemeClr w14:val="tx1"/>
                  </w14:solidFill>
                </w14:textFill>
              </w:rPr>
            </w:pPr>
          </w:p>
        </w:tc>
        <w:tc>
          <w:tcPr>
            <w:tcW w:w="1058" w:type="dxa"/>
          </w:tcPr>
          <w:p w14:paraId="709C2876">
            <w:pPr>
              <w:spacing w:line="340" w:lineRule="exact"/>
              <w:rPr>
                <w:rFonts w:ascii="宋体" w:hAnsi="宋体" w:cs="宋体"/>
                <w:color w:val="000000" w:themeColor="text1"/>
                <w:kern w:val="21"/>
                <w:szCs w:val="21"/>
                <w:highlight w:val="none"/>
                <w14:textFill>
                  <w14:solidFill>
                    <w14:schemeClr w14:val="tx1"/>
                  </w14:solidFill>
                </w14:textFill>
              </w:rPr>
            </w:pPr>
          </w:p>
        </w:tc>
        <w:tc>
          <w:tcPr>
            <w:tcW w:w="880" w:type="dxa"/>
          </w:tcPr>
          <w:p w14:paraId="02A79220">
            <w:pPr>
              <w:spacing w:line="340" w:lineRule="exact"/>
              <w:rPr>
                <w:rFonts w:ascii="宋体" w:hAnsi="宋体" w:cs="宋体"/>
                <w:color w:val="000000" w:themeColor="text1"/>
                <w:kern w:val="21"/>
                <w:szCs w:val="21"/>
                <w:highlight w:val="none"/>
                <w14:textFill>
                  <w14:solidFill>
                    <w14:schemeClr w14:val="tx1"/>
                  </w14:solidFill>
                </w14:textFill>
              </w:rPr>
            </w:pPr>
          </w:p>
        </w:tc>
        <w:tc>
          <w:tcPr>
            <w:tcW w:w="1020" w:type="dxa"/>
          </w:tcPr>
          <w:p w14:paraId="07E3B838">
            <w:pPr>
              <w:spacing w:line="340" w:lineRule="exact"/>
              <w:rPr>
                <w:rFonts w:ascii="宋体" w:hAnsi="宋体" w:cs="宋体"/>
                <w:color w:val="000000" w:themeColor="text1"/>
                <w:kern w:val="21"/>
                <w:szCs w:val="21"/>
                <w:highlight w:val="none"/>
                <w14:textFill>
                  <w14:solidFill>
                    <w14:schemeClr w14:val="tx1"/>
                  </w14:solidFill>
                </w14:textFill>
              </w:rPr>
            </w:pPr>
          </w:p>
        </w:tc>
        <w:tc>
          <w:tcPr>
            <w:tcW w:w="1480" w:type="dxa"/>
          </w:tcPr>
          <w:p w14:paraId="1459D913">
            <w:pPr>
              <w:spacing w:line="340" w:lineRule="exact"/>
              <w:rPr>
                <w:rFonts w:ascii="宋体" w:hAnsi="宋体" w:cs="宋体"/>
                <w:color w:val="000000" w:themeColor="text1"/>
                <w:kern w:val="21"/>
                <w:szCs w:val="21"/>
                <w:highlight w:val="none"/>
                <w14:textFill>
                  <w14:solidFill>
                    <w14:schemeClr w14:val="tx1"/>
                  </w14:solidFill>
                </w14:textFill>
              </w:rPr>
            </w:pPr>
          </w:p>
        </w:tc>
        <w:tc>
          <w:tcPr>
            <w:tcW w:w="1020" w:type="dxa"/>
          </w:tcPr>
          <w:p w14:paraId="34C8E76E">
            <w:pPr>
              <w:spacing w:line="340" w:lineRule="exact"/>
              <w:rPr>
                <w:rFonts w:ascii="宋体" w:hAnsi="宋体" w:cs="宋体"/>
                <w:color w:val="000000" w:themeColor="text1"/>
                <w:kern w:val="21"/>
                <w:szCs w:val="21"/>
                <w:highlight w:val="none"/>
                <w14:textFill>
                  <w14:solidFill>
                    <w14:schemeClr w14:val="tx1"/>
                  </w14:solidFill>
                </w14:textFill>
              </w:rPr>
            </w:pPr>
          </w:p>
        </w:tc>
        <w:tc>
          <w:tcPr>
            <w:tcW w:w="921" w:type="dxa"/>
          </w:tcPr>
          <w:p w14:paraId="7F71F771">
            <w:pPr>
              <w:spacing w:line="340" w:lineRule="exact"/>
              <w:rPr>
                <w:rFonts w:ascii="宋体" w:hAnsi="宋体" w:cs="宋体"/>
                <w:color w:val="000000" w:themeColor="text1"/>
                <w:kern w:val="21"/>
                <w:szCs w:val="21"/>
                <w:highlight w:val="none"/>
                <w14:textFill>
                  <w14:solidFill>
                    <w14:schemeClr w14:val="tx1"/>
                  </w14:solidFill>
                </w14:textFill>
              </w:rPr>
            </w:pPr>
          </w:p>
        </w:tc>
      </w:tr>
      <w:tr w14:paraId="42AD92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31ADD10B">
            <w:pPr>
              <w:spacing w:line="340" w:lineRule="exact"/>
              <w:rPr>
                <w:rFonts w:ascii="宋体" w:hAnsi="宋体" w:cs="宋体"/>
                <w:color w:val="000000" w:themeColor="text1"/>
                <w:kern w:val="21"/>
                <w:szCs w:val="21"/>
                <w:highlight w:val="none"/>
                <w14:textFill>
                  <w14:solidFill>
                    <w14:schemeClr w14:val="tx1"/>
                  </w14:solidFill>
                </w14:textFill>
              </w:rPr>
            </w:pPr>
          </w:p>
        </w:tc>
        <w:tc>
          <w:tcPr>
            <w:tcW w:w="1418" w:type="dxa"/>
          </w:tcPr>
          <w:p w14:paraId="7899C664">
            <w:pPr>
              <w:spacing w:line="340" w:lineRule="exact"/>
              <w:rPr>
                <w:rFonts w:ascii="宋体" w:hAnsi="宋体" w:cs="宋体"/>
                <w:color w:val="000000" w:themeColor="text1"/>
                <w:kern w:val="21"/>
                <w:szCs w:val="21"/>
                <w:highlight w:val="none"/>
                <w14:textFill>
                  <w14:solidFill>
                    <w14:schemeClr w14:val="tx1"/>
                  </w14:solidFill>
                </w14:textFill>
              </w:rPr>
            </w:pPr>
          </w:p>
        </w:tc>
        <w:tc>
          <w:tcPr>
            <w:tcW w:w="850" w:type="dxa"/>
          </w:tcPr>
          <w:p w14:paraId="396F9594">
            <w:pPr>
              <w:spacing w:line="340" w:lineRule="exact"/>
              <w:rPr>
                <w:rFonts w:ascii="宋体" w:hAnsi="宋体" w:cs="宋体"/>
                <w:color w:val="000000" w:themeColor="text1"/>
                <w:kern w:val="21"/>
                <w:szCs w:val="21"/>
                <w:highlight w:val="none"/>
                <w14:textFill>
                  <w14:solidFill>
                    <w14:schemeClr w14:val="tx1"/>
                  </w14:solidFill>
                </w14:textFill>
              </w:rPr>
            </w:pPr>
          </w:p>
        </w:tc>
        <w:tc>
          <w:tcPr>
            <w:tcW w:w="1058" w:type="dxa"/>
          </w:tcPr>
          <w:p w14:paraId="09AF5E36">
            <w:pPr>
              <w:spacing w:line="340" w:lineRule="exact"/>
              <w:rPr>
                <w:rFonts w:ascii="宋体" w:hAnsi="宋体" w:cs="宋体"/>
                <w:color w:val="000000" w:themeColor="text1"/>
                <w:kern w:val="21"/>
                <w:szCs w:val="21"/>
                <w:highlight w:val="none"/>
                <w14:textFill>
                  <w14:solidFill>
                    <w14:schemeClr w14:val="tx1"/>
                  </w14:solidFill>
                </w14:textFill>
              </w:rPr>
            </w:pPr>
          </w:p>
        </w:tc>
        <w:tc>
          <w:tcPr>
            <w:tcW w:w="880" w:type="dxa"/>
          </w:tcPr>
          <w:p w14:paraId="7BD0E6F0">
            <w:pPr>
              <w:spacing w:line="340" w:lineRule="exact"/>
              <w:rPr>
                <w:rFonts w:ascii="宋体" w:hAnsi="宋体" w:cs="宋体"/>
                <w:color w:val="000000" w:themeColor="text1"/>
                <w:kern w:val="21"/>
                <w:szCs w:val="21"/>
                <w:highlight w:val="none"/>
                <w14:textFill>
                  <w14:solidFill>
                    <w14:schemeClr w14:val="tx1"/>
                  </w14:solidFill>
                </w14:textFill>
              </w:rPr>
            </w:pPr>
          </w:p>
        </w:tc>
        <w:tc>
          <w:tcPr>
            <w:tcW w:w="1020" w:type="dxa"/>
          </w:tcPr>
          <w:p w14:paraId="7F8AB227">
            <w:pPr>
              <w:spacing w:line="340" w:lineRule="exact"/>
              <w:rPr>
                <w:rFonts w:ascii="宋体" w:hAnsi="宋体" w:cs="宋体"/>
                <w:color w:val="000000" w:themeColor="text1"/>
                <w:kern w:val="21"/>
                <w:szCs w:val="21"/>
                <w:highlight w:val="none"/>
                <w14:textFill>
                  <w14:solidFill>
                    <w14:schemeClr w14:val="tx1"/>
                  </w14:solidFill>
                </w14:textFill>
              </w:rPr>
            </w:pPr>
          </w:p>
        </w:tc>
        <w:tc>
          <w:tcPr>
            <w:tcW w:w="1480" w:type="dxa"/>
          </w:tcPr>
          <w:p w14:paraId="29329A89">
            <w:pPr>
              <w:spacing w:line="340" w:lineRule="exact"/>
              <w:rPr>
                <w:rFonts w:ascii="宋体" w:hAnsi="宋体" w:cs="宋体"/>
                <w:color w:val="000000" w:themeColor="text1"/>
                <w:kern w:val="21"/>
                <w:szCs w:val="21"/>
                <w:highlight w:val="none"/>
                <w14:textFill>
                  <w14:solidFill>
                    <w14:schemeClr w14:val="tx1"/>
                  </w14:solidFill>
                </w14:textFill>
              </w:rPr>
            </w:pPr>
          </w:p>
        </w:tc>
        <w:tc>
          <w:tcPr>
            <w:tcW w:w="1020" w:type="dxa"/>
          </w:tcPr>
          <w:p w14:paraId="49DFDF2F">
            <w:pPr>
              <w:spacing w:line="340" w:lineRule="exact"/>
              <w:rPr>
                <w:rFonts w:ascii="宋体" w:hAnsi="宋体" w:cs="宋体"/>
                <w:color w:val="000000" w:themeColor="text1"/>
                <w:kern w:val="21"/>
                <w:szCs w:val="21"/>
                <w:highlight w:val="none"/>
                <w14:textFill>
                  <w14:solidFill>
                    <w14:schemeClr w14:val="tx1"/>
                  </w14:solidFill>
                </w14:textFill>
              </w:rPr>
            </w:pPr>
          </w:p>
        </w:tc>
        <w:tc>
          <w:tcPr>
            <w:tcW w:w="921" w:type="dxa"/>
          </w:tcPr>
          <w:p w14:paraId="5D3DC493">
            <w:pPr>
              <w:spacing w:line="340" w:lineRule="exact"/>
              <w:rPr>
                <w:rFonts w:ascii="宋体" w:hAnsi="宋体" w:cs="宋体"/>
                <w:color w:val="000000" w:themeColor="text1"/>
                <w:kern w:val="21"/>
                <w:szCs w:val="21"/>
                <w:highlight w:val="none"/>
                <w14:textFill>
                  <w14:solidFill>
                    <w14:schemeClr w14:val="tx1"/>
                  </w14:solidFill>
                </w14:textFill>
              </w:rPr>
            </w:pPr>
          </w:p>
        </w:tc>
      </w:tr>
    </w:tbl>
    <w:p w14:paraId="01B2AC4A">
      <w:pPr>
        <w:spacing w:line="340" w:lineRule="exact"/>
        <w:rPr>
          <w:rFonts w:ascii="宋体" w:hAnsi="宋体" w:cs="宋体"/>
          <w:color w:val="000000" w:themeColor="text1"/>
          <w:kern w:val="21"/>
          <w:szCs w:val="21"/>
          <w:highlight w:val="none"/>
          <w14:textFill>
            <w14:solidFill>
              <w14:schemeClr w14:val="tx1"/>
            </w14:solidFill>
          </w14:textFill>
        </w:rPr>
      </w:pPr>
    </w:p>
    <w:p w14:paraId="2829CC17">
      <w:pPr>
        <w:spacing w:line="340" w:lineRule="exact"/>
        <w:rPr>
          <w:rFonts w:ascii="宋体" w:hAnsi="宋体" w:cs="宋体"/>
          <w:color w:val="000000" w:themeColor="text1"/>
          <w:kern w:val="21"/>
          <w:szCs w:val="21"/>
          <w:highlight w:val="none"/>
          <w14:textFill>
            <w14:solidFill>
              <w14:schemeClr w14:val="tx1"/>
            </w14:solidFill>
          </w14:textFill>
        </w:rPr>
      </w:pPr>
    </w:p>
    <w:p w14:paraId="5182BCAA">
      <w:pPr>
        <w:spacing w:line="340" w:lineRule="exact"/>
        <w:rPr>
          <w:rFonts w:ascii="宋体" w:hAnsi="宋体" w:cs="宋体"/>
          <w:color w:val="000000" w:themeColor="text1"/>
          <w:kern w:val="21"/>
          <w:szCs w:val="21"/>
          <w:highlight w:val="none"/>
          <w14:textFill>
            <w14:solidFill>
              <w14:schemeClr w14:val="tx1"/>
            </w14:solidFill>
          </w14:textFill>
        </w:rPr>
      </w:pPr>
    </w:p>
    <w:p w14:paraId="3550806D">
      <w:pPr>
        <w:spacing w:line="3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附</w:t>
      </w:r>
      <w:bookmarkStart w:id="613" w:name="_Toc267261699"/>
      <w:bookmarkStart w:id="614" w:name="_Toc296891268"/>
      <w:bookmarkStart w:id="615" w:name="_Toc296944567"/>
      <w:bookmarkStart w:id="616" w:name="_Toc296347227"/>
      <w:bookmarkStart w:id="617" w:name="_Toc296346729"/>
      <w:bookmarkStart w:id="618" w:name="_Toc296891056"/>
      <w:bookmarkStart w:id="619" w:name="_Toc296503228"/>
      <w:r>
        <w:rPr>
          <w:rFonts w:hint="eastAsia" w:ascii="宋体" w:hAnsi="宋体" w:cs="宋体"/>
          <w:color w:val="000000" w:themeColor="text1"/>
          <w:kern w:val="21"/>
          <w:szCs w:val="21"/>
          <w:highlight w:val="none"/>
          <w14:textFill>
            <w14:solidFill>
              <w14:schemeClr w14:val="tx1"/>
            </w14:solidFill>
          </w14:textFill>
        </w:rPr>
        <w:t>件6：</w:t>
      </w:r>
    </w:p>
    <w:bookmarkEnd w:id="613"/>
    <w:bookmarkEnd w:id="614"/>
    <w:bookmarkEnd w:id="615"/>
    <w:bookmarkEnd w:id="616"/>
    <w:bookmarkEnd w:id="617"/>
    <w:bookmarkEnd w:id="618"/>
    <w:bookmarkEnd w:id="619"/>
    <w:p w14:paraId="55E4424C">
      <w:pPr>
        <w:spacing w:before="156" w:beforeLines="50" w:after="156" w:afterLines="50" w:line="340" w:lineRule="exact"/>
        <w:jc w:val="center"/>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承包人主要施工管理人员表</w:t>
      </w:r>
    </w:p>
    <w:tbl>
      <w:tblPr>
        <w:tblStyle w:val="7"/>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0409EF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14:paraId="71D2E6D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名    称</w:t>
            </w:r>
          </w:p>
        </w:tc>
        <w:tc>
          <w:tcPr>
            <w:tcW w:w="1418" w:type="dxa"/>
            <w:tcBorders>
              <w:top w:val="single" w:color="auto" w:sz="12" w:space="0"/>
              <w:bottom w:val="double" w:color="auto" w:sz="6" w:space="0"/>
            </w:tcBorders>
            <w:vAlign w:val="center"/>
          </w:tcPr>
          <w:p w14:paraId="5FE94FE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姓名</w:t>
            </w:r>
          </w:p>
        </w:tc>
        <w:tc>
          <w:tcPr>
            <w:tcW w:w="1134" w:type="dxa"/>
            <w:tcBorders>
              <w:top w:val="single" w:color="auto" w:sz="12" w:space="0"/>
              <w:bottom w:val="double" w:color="auto" w:sz="6" w:space="0"/>
            </w:tcBorders>
            <w:vAlign w:val="center"/>
          </w:tcPr>
          <w:p w14:paraId="5C13AC6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职务</w:t>
            </w:r>
          </w:p>
        </w:tc>
        <w:tc>
          <w:tcPr>
            <w:tcW w:w="1134" w:type="dxa"/>
            <w:tcBorders>
              <w:top w:val="single" w:color="auto" w:sz="12" w:space="0"/>
              <w:bottom w:val="double" w:color="auto" w:sz="6" w:space="0"/>
            </w:tcBorders>
            <w:vAlign w:val="center"/>
          </w:tcPr>
          <w:p w14:paraId="22F56C5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职称</w:t>
            </w:r>
          </w:p>
        </w:tc>
        <w:tc>
          <w:tcPr>
            <w:tcW w:w="4252" w:type="dxa"/>
            <w:tcBorders>
              <w:top w:val="single" w:color="auto" w:sz="12" w:space="0"/>
              <w:bottom w:val="double" w:color="auto" w:sz="6" w:space="0"/>
            </w:tcBorders>
            <w:vAlign w:val="center"/>
          </w:tcPr>
          <w:p w14:paraId="58F2802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主要资历、经验及承担过的项目</w:t>
            </w:r>
          </w:p>
        </w:tc>
      </w:tr>
      <w:tr w14:paraId="2D8D65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vAlign w:val="center"/>
          </w:tcPr>
          <w:p w14:paraId="47D2B79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一、总部人员</w:t>
            </w:r>
          </w:p>
        </w:tc>
      </w:tr>
      <w:tr w14:paraId="57D10F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18E906C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项目主管</w:t>
            </w:r>
          </w:p>
        </w:tc>
        <w:tc>
          <w:tcPr>
            <w:tcW w:w="1418" w:type="dxa"/>
            <w:tcBorders>
              <w:top w:val="nil"/>
            </w:tcBorders>
            <w:vAlign w:val="center"/>
          </w:tcPr>
          <w:p w14:paraId="2DDAD49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tcBorders>
              <w:top w:val="nil"/>
            </w:tcBorders>
            <w:vAlign w:val="center"/>
          </w:tcPr>
          <w:p w14:paraId="2888431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tcBorders>
              <w:top w:val="nil"/>
            </w:tcBorders>
            <w:vAlign w:val="center"/>
          </w:tcPr>
          <w:p w14:paraId="076C7A0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tcBorders>
              <w:top w:val="nil"/>
            </w:tcBorders>
            <w:vAlign w:val="center"/>
          </w:tcPr>
          <w:p w14:paraId="4AB4C33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2D332F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vAlign w:val="center"/>
          </w:tcPr>
          <w:p w14:paraId="67E6B0B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7EFE179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4B54CFB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3E3A7E5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vAlign w:val="center"/>
          </w:tcPr>
          <w:p w14:paraId="5637AAC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1296AE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5152F1A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其他人员</w:t>
            </w:r>
          </w:p>
        </w:tc>
        <w:tc>
          <w:tcPr>
            <w:tcW w:w="1418" w:type="dxa"/>
            <w:vAlign w:val="center"/>
          </w:tcPr>
          <w:p w14:paraId="2DA52FA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664ECEF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619C7D4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vAlign w:val="center"/>
          </w:tcPr>
          <w:p w14:paraId="580890B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24B80A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6E00427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3792894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5584E37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74CB10C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vAlign w:val="center"/>
          </w:tcPr>
          <w:p w14:paraId="103D040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0EE28C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vAlign w:val="center"/>
          </w:tcPr>
          <w:p w14:paraId="4C1842F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二、现场人员</w:t>
            </w:r>
          </w:p>
        </w:tc>
      </w:tr>
      <w:tr w14:paraId="148834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4A9B94C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项目经理</w:t>
            </w:r>
          </w:p>
        </w:tc>
        <w:tc>
          <w:tcPr>
            <w:tcW w:w="1418" w:type="dxa"/>
            <w:vAlign w:val="center"/>
          </w:tcPr>
          <w:p w14:paraId="70130C7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0934F9F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171ED1C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vAlign w:val="center"/>
          </w:tcPr>
          <w:p w14:paraId="308B45E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4C3261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722EB22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项目副经理</w:t>
            </w:r>
          </w:p>
        </w:tc>
        <w:tc>
          <w:tcPr>
            <w:tcW w:w="1418" w:type="dxa"/>
            <w:vAlign w:val="center"/>
          </w:tcPr>
          <w:p w14:paraId="4C26A9E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2C003D0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4BE44CE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vAlign w:val="center"/>
          </w:tcPr>
          <w:p w14:paraId="1DA2282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42E6B5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21FF4CC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技术负责人</w:t>
            </w:r>
          </w:p>
        </w:tc>
        <w:tc>
          <w:tcPr>
            <w:tcW w:w="1418" w:type="dxa"/>
            <w:vAlign w:val="center"/>
          </w:tcPr>
          <w:p w14:paraId="50D4196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0A66A96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6426EA1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vAlign w:val="center"/>
          </w:tcPr>
          <w:p w14:paraId="2AB31CB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1CFF6D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2057E65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造价管理</w:t>
            </w:r>
          </w:p>
        </w:tc>
        <w:tc>
          <w:tcPr>
            <w:tcW w:w="1418" w:type="dxa"/>
            <w:vAlign w:val="center"/>
          </w:tcPr>
          <w:p w14:paraId="1CD46A0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23C988D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01F9EEA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vAlign w:val="center"/>
          </w:tcPr>
          <w:p w14:paraId="5C77070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3751DC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7634E99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质量管理</w:t>
            </w:r>
          </w:p>
        </w:tc>
        <w:tc>
          <w:tcPr>
            <w:tcW w:w="1418" w:type="dxa"/>
            <w:vAlign w:val="center"/>
          </w:tcPr>
          <w:p w14:paraId="26426BA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3E9549A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44DD046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vAlign w:val="center"/>
          </w:tcPr>
          <w:p w14:paraId="3F728F6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54CA8E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6DF4124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材料管理</w:t>
            </w:r>
          </w:p>
        </w:tc>
        <w:tc>
          <w:tcPr>
            <w:tcW w:w="1418" w:type="dxa"/>
            <w:vAlign w:val="center"/>
          </w:tcPr>
          <w:p w14:paraId="11678A0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39286A4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6C5769E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vAlign w:val="center"/>
          </w:tcPr>
          <w:p w14:paraId="2D71DB4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763C01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5DBC56B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计划管理</w:t>
            </w:r>
          </w:p>
        </w:tc>
        <w:tc>
          <w:tcPr>
            <w:tcW w:w="1418" w:type="dxa"/>
            <w:vAlign w:val="center"/>
          </w:tcPr>
          <w:p w14:paraId="17F54B5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23D5B66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602277E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vAlign w:val="center"/>
          </w:tcPr>
          <w:p w14:paraId="160E075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61D572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5CD295F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安全管理</w:t>
            </w:r>
          </w:p>
        </w:tc>
        <w:tc>
          <w:tcPr>
            <w:tcW w:w="1418" w:type="dxa"/>
            <w:vAlign w:val="center"/>
          </w:tcPr>
          <w:p w14:paraId="2BC99C0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48847E2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34729BA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vAlign w:val="center"/>
          </w:tcPr>
          <w:p w14:paraId="35E9A3C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5EB3F1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vAlign w:val="center"/>
          </w:tcPr>
          <w:p w14:paraId="34C2272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其他人员</w:t>
            </w:r>
          </w:p>
        </w:tc>
        <w:tc>
          <w:tcPr>
            <w:tcW w:w="1418" w:type="dxa"/>
            <w:vAlign w:val="center"/>
          </w:tcPr>
          <w:p w14:paraId="553B038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7D2EED4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61B8151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vAlign w:val="center"/>
          </w:tcPr>
          <w:p w14:paraId="59D694C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60B21C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01EE158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Borders>
              <w:bottom w:val="nil"/>
            </w:tcBorders>
            <w:vAlign w:val="center"/>
          </w:tcPr>
          <w:p w14:paraId="347B545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tcBorders>
              <w:bottom w:val="nil"/>
            </w:tcBorders>
            <w:vAlign w:val="center"/>
          </w:tcPr>
          <w:p w14:paraId="04DEFCB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tcBorders>
              <w:bottom w:val="nil"/>
            </w:tcBorders>
            <w:vAlign w:val="center"/>
          </w:tcPr>
          <w:p w14:paraId="659109E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tcBorders>
              <w:bottom w:val="nil"/>
            </w:tcBorders>
            <w:vAlign w:val="center"/>
          </w:tcPr>
          <w:p w14:paraId="60A57F2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45B950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684F00D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269293F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79E8529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64057BF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vAlign w:val="center"/>
          </w:tcPr>
          <w:p w14:paraId="3F974A6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62E79A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3D0B781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0DD5B1E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7D567F8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31AB0E2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vAlign w:val="center"/>
          </w:tcPr>
          <w:p w14:paraId="0EDAC31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68BE7F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031C68B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0ACBB8B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7DABE5A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7013663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vAlign w:val="center"/>
          </w:tcPr>
          <w:p w14:paraId="25B3CA7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3A9160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vAlign w:val="center"/>
          </w:tcPr>
          <w:p w14:paraId="0C12CD8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Borders>
              <w:bottom w:val="single" w:color="auto" w:sz="12" w:space="0"/>
            </w:tcBorders>
            <w:vAlign w:val="center"/>
          </w:tcPr>
          <w:p w14:paraId="4EE97E6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tcBorders>
              <w:bottom w:val="single" w:color="auto" w:sz="12" w:space="0"/>
            </w:tcBorders>
            <w:vAlign w:val="center"/>
          </w:tcPr>
          <w:p w14:paraId="2416129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tcBorders>
              <w:bottom w:val="single" w:color="auto" w:sz="12" w:space="0"/>
            </w:tcBorders>
            <w:vAlign w:val="center"/>
          </w:tcPr>
          <w:p w14:paraId="58B96C2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tcBorders>
              <w:bottom w:val="single" w:color="auto" w:sz="12" w:space="0"/>
            </w:tcBorders>
            <w:vAlign w:val="center"/>
          </w:tcPr>
          <w:p w14:paraId="076F21F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bl>
    <w:p w14:paraId="785FFCB8">
      <w:pPr>
        <w:spacing w:line="3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br w:type="page"/>
      </w:r>
      <w:r>
        <w:rPr>
          <w:rFonts w:hint="eastAsia" w:ascii="宋体" w:hAnsi="宋体" w:cs="宋体"/>
          <w:color w:val="000000" w:themeColor="text1"/>
          <w:kern w:val="21"/>
          <w:szCs w:val="21"/>
          <w:highlight w:val="none"/>
          <w14:textFill>
            <w14:solidFill>
              <w14:schemeClr w14:val="tx1"/>
            </w14:solidFill>
          </w14:textFill>
        </w:rPr>
        <w:t>附</w:t>
      </w:r>
      <w:bookmarkStart w:id="620" w:name="_Toc296891269"/>
      <w:bookmarkStart w:id="621" w:name="_Toc296503229"/>
      <w:bookmarkStart w:id="622" w:name="_Toc296891057"/>
      <w:bookmarkStart w:id="623" w:name="_Toc296346730"/>
      <w:bookmarkStart w:id="624" w:name="_Toc296347228"/>
      <w:bookmarkStart w:id="625" w:name="_Toc296944568"/>
      <w:r>
        <w:rPr>
          <w:rFonts w:hint="eastAsia" w:ascii="宋体" w:hAnsi="宋体" w:cs="宋体"/>
          <w:color w:val="000000" w:themeColor="text1"/>
          <w:kern w:val="21"/>
          <w:szCs w:val="21"/>
          <w:highlight w:val="none"/>
          <w14:textFill>
            <w14:solidFill>
              <w14:schemeClr w14:val="tx1"/>
            </w14:solidFill>
          </w14:textFill>
        </w:rPr>
        <w:t>件7：</w:t>
      </w:r>
    </w:p>
    <w:bookmarkEnd w:id="620"/>
    <w:bookmarkEnd w:id="621"/>
    <w:bookmarkEnd w:id="622"/>
    <w:bookmarkEnd w:id="623"/>
    <w:bookmarkEnd w:id="624"/>
    <w:bookmarkEnd w:id="625"/>
    <w:p w14:paraId="3BE9817F">
      <w:pPr>
        <w:spacing w:before="156" w:beforeLines="50" w:after="156" w:afterLines="50" w:line="340" w:lineRule="exact"/>
        <w:jc w:val="center"/>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分包人主要施工管理人员表</w:t>
      </w:r>
    </w:p>
    <w:tbl>
      <w:tblPr>
        <w:tblStyle w:val="7"/>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3134C2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14:paraId="5923D19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名    称</w:t>
            </w:r>
          </w:p>
        </w:tc>
        <w:tc>
          <w:tcPr>
            <w:tcW w:w="1418" w:type="dxa"/>
            <w:tcBorders>
              <w:top w:val="single" w:color="auto" w:sz="12" w:space="0"/>
              <w:bottom w:val="double" w:color="auto" w:sz="6" w:space="0"/>
            </w:tcBorders>
            <w:vAlign w:val="center"/>
          </w:tcPr>
          <w:p w14:paraId="6CDFC6E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姓名</w:t>
            </w:r>
          </w:p>
        </w:tc>
        <w:tc>
          <w:tcPr>
            <w:tcW w:w="1134" w:type="dxa"/>
            <w:tcBorders>
              <w:top w:val="single" w:color="auto" w:sz="12" w:space="0"/>
              <w:bottom w:val="double" w:color="auto" w:sz="6" w:space="0"/>
            </w:tcBorders>
            <w:vAlign w:val="center"/>
          </w:tcPr>
          <w:p w14:paraId="1F5FB2F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职务</w:t>
            </w:r>
          </w:p>
        </w:tc>
        <w:tc>
          <w:tcPr>
            <w:tcW w:w="1134" w:type="dxa"/>
            <w:tcBorders>
              <w:top w:val="single" w:color="auto" w:sz="12" w:space="0"/>
              <w:bottom w:val="double" w:color="auto" w:sz="6" w:space="0"/>
            </w:tcBorders>
            <w:vAlign w:val="center"/>
          </w:tcPr>
          <w:p w14:paraId="4411E55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职称</w:t>
            </w:r>
          </w:p>
        </w:tc>
        <w:tc>
          <w:tcPr>
            <w:tcW w:w="4252" w:type="dxa"/>
            <w:tcBorders>
              <w:top w:val="single" w:color="auto" w:sz="12" w:space="0"/>
              <w:bottom w:val="double" w:color="auto" w:sz="6" w:space="0"/>
            </w:tcBorders>
            <w:vAlign w:val="center"/>
          </w:tcPr>
          <w:p w14:paraId="08BEC84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主要资历、经验及承担过的项目</w:t>
            </w:r>
          </w:p>
        </w:tc>
      </w:tr>
      <w:tr w14:paraId="153D33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vAlign w:val="center"/>
          </w:tcPr>
          <w:p w14:paraId="4D9EDA4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一、总部人员</w:t>
            </w:r>
          </w:p>
        </w:tc>
      </w:tr>
      <w:tr w14:paraId="7AD9C6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1CBEECD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项目主管</w:t>
            </w:r>
          </w:p>
        </w:tc>
        <w:tc>
          <w:tcPr>
            <w:tcW w:w="1418" w:type="dxa"/>
            <w:tcBorders>
              <w:top w:val="nil"/>
            </w:tcBorders>
            <w:vAlign w:val="center"/>
          </w:tcPr>
          <w:p w14:paraId="10B67C5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tcBorders>
              <w:top w:val="nil"/>
            </w:tcBorders>
            <w:vAlign w:val="center"/>
          </w:tcPr>
          <w:p w14:paraId="51F3175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tcBorders>
              <w:top w:val="nil"/>
            </w:tcBorders>
            <w:vAlign w:val="center"/>
          </w:tcPr>
          <w:p w14:paraId="12F6D6D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tcBorders>
              <w:top w:val="nil"/>
            </w:tcBorders>
            <w:vAlign w:val="center"/>
          </w:tcPr>
          <w:p w14:paraId="39359EB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4E7279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vAlign w:val="center"/>
          </w:tcPr>
          <w:p w14:paraId="47D8F1A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327DFE2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4C77E57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5A2FA30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vAlign w:val="center"/>
          </w:tcPr>
          <w:p w14:paraId="2492368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5D0460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0316E6E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其他人员</w:t>
            </w:r>
          </w:p>
        </w:tc>
        <w:tc>
          <w:tcPr>
            <w:tcW w:w="1418" w:type="dxa"/>
            <w:vAlign w:val="center"/>
          </w:tcPr>
          <w:p w14:paraId="5A057BD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34EE204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156BA53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vAlign w:val="center"/>
          </w:tcPr>
          <w:p w14:paraId="7E52BDC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04701E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015C4A5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3E0D521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3DAFBF2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61C0569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vAlign w:val="center"/>
          </w:tcPr>
          <w:p w14:paraId="604C273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49045B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vAlign w:val="center"/>
          </w:tcPr>
          <w:p w14:paraId="43218E5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二、现场人员</w:t>
            </w:r>
          </w:p>
        </w:tc>
      </w:tr>
      <w:tr w14:paraId="398C6A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3815C58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项目经理</w:t>
            </w:r>
          </w:p>
        </w:tc>
        <w:tc>
          <w:tcPr>
            <w:tcW w:w="1418" w:type="dxa"/>
            <w:vAlign w:val="center"/>
          </w:tcPr>
          <w:p w14:paraId="495A66B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0EB9F93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3ED28FF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vAlign w:val="center"/>
          </w:tcPr>
          <w:p w14:paraId="71D7871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271FC3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151E3D8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项目副经理</w:t>
            </w:r>
          </w:p>
        </w:tc>
        <w:tc>
          <w:tcPr>
            <w:tcW w:w="1418" w:type="dxa"/>
            <w:vAlign w:val="center"/>
          </w:tcPr>
          <w:p w14:paraId="0B714BB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659D641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6CCF182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vAlign w:val="center"/>
          </w:tcPr>
          <w:p w14:paraId="32F6DBC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6AA10A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793BD66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技术负责人</w:t>
            </w:r>
          </w:p>
        </w:tc>
        <w:tc>
          <w:tcPr>
            <w:tcW w:w="1418" w:type="dxa"/>
            <w:vAlign w:val="center"/>
          </w:tcPr>
          <w:p w14:paraId="563FBE7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12546D5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5570A0E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vAlign w:val="center"/>
          </w:tcPr>
          <w:p w14:paraId="1CFB12F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46046E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126C4BC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造价管理</w:t>
            </w:r>
          </w:p>
        </w:tc>
        <w:tc>
          <w:tcPr>
            <w:tcW w:w="1418" w:type="dxa"/>
            <w:vAlign w:val="center"/>
          </w:tcPr>
          <w:p w14:paraId="55CA9CE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020FF87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46A68C3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vAlign w:val="center"/>
          </w:tcPr>
          <w:p w14:paraId="73C6EFF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19691D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0A8E912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质量管理</w:t>
            </w:r>
          </w:p>
        </w:tc>
        <w:tc>
          <w:tcPr>
            <w:tcW w:w="1418" w:type="dxa"/>
            <w:vAlign w:val="center"/>
          </w:tcPr>
          <w:p w14:paraId="13533A7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059EEF4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3B2A082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vAlign w:val="center"/>
          </w:tcPr>
          <w:p w14:paraId="67CE0D1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4478AF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306F587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材料管理</w:t>
            </w:r>
          </w:p>
        </w:tc>
        <w:tc>
          <w:tcPr>
            <w:tcW w:w="1418" w:type="dxa"/>
            <w:vAlign w:val="center"/>
          </w:tcPr>
          <w:p w14:paraId="450538B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6CA6487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5047523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vAlign w:val="center"/>
          </w:tcPr>
          <w:p w14:paraId="4836B7D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03E7C0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2689B2D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计划管理</w:t>
            </w:r>
          </w:p>
        </w:tc>
        <w:tc>
          <w:tcPr>
            <w:tcW w:w="1418" w:type="dxa"/>
            <w:vAlign w:val="center"/>
          </w:tcPr>
          <w:p w14:paraId="2A76084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024EAB4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69491B5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vAlign w:val="center"/>
          </w:tcPr>
          <w:p w14:paraId="193FB4B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6A5E95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5BAD24B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安全管理</w:t>
            </w:r>
          </w:p>
        </w:tc>
        <w:tc>
          <w:tcPr>
            <w:tcW w:w="1418" w:type="dxa"/>
            <w:vAlign w:val="center"/>
          </w:tcPr>
          <w:p w14:paraId="1071C8D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113A98C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4C9D474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vAlign w:val="center"/>
          </w:tcPr>
          <w:p w14:paraId="46C0A25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220A62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vAlign w:val="center"/>
          </w:tcPr>
          <w:p w14:paraId="467EE61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其他人员</w:t>
            </w:r>
          </w:p>
        </w:tc>
        <w:tc>
          <w:tcPr>
            <w:tcW w:w="1418" w:type="dxa"/>
            <w:vAlign w:val="center"/>
          </w:tcPr>
          <w:p w14:paraId="32720C8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59BA003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6893BBD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vAlign w:val="center"/>
          </w:tcPr>
          <w:p w14:paraId="153E9C9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4CF146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5411E91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Borders>
              <w:bottom w:val="nil"/>
            </w:tcBorders>
            <w:vAlign w:val="center"/>
          </w:tcPr>
          <w:p w14:paraId="5F768B4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tcBorders>
              <w:bottom w:val="nil"/>
            </w:tcBorders>
            <w:vAlign w:val="center"/>
          </w:tcPr>
          <w:p w14:paraId="2B6DF15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tcBorders>
              <w:bottom w:val="nil"/>
            </w:tcBorders>
            <w:vAlign w:val="center"/>
          </w:tcPr>
          <w:p w14:paraId="61E2BEA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tcBorders>
              <w:bottom w:val="nil"/>
            </w:tcBorders>
            <w:vAlign w:val="center"/>
          </w:tcPr>
          <w:p w14:paraId="6685973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176A5D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2F75EC2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14A5E23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0D2AFFF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5E54019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vAlign w:val="center"/>
          </w:tcPr>
          <w:p w14:paraId="40F3F6E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142751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6FC5869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40A0CBE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3DFEB17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17EEDDE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vAlign w:val="center"/>
          </w:tcPr>
          <w:p w14:paraId="5927EC1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262473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369E69D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vAlign w:val="center"/>
          </w:tcPr>
          <w:p w14:paraId="24271FD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7E489CE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vAlign w:val="center"/>
          </w:tcPr>
          <w:p w14:paraId="14F295C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vAlign w:val="center"/>
          </w:tcPr>
          <w:p w14:paraId="5CB44B0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08F448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vAlign w:val="center"/>
          </w:tcPr>
          <w:p w14:paraId="0241140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Borders>
              <w:bottom w:val="single" w:color="auto" w:sz="12" w:space="0"/>
            </w:tcBorders>
            <w:vAlign w:val="center"/>
          </w:tcPr>
          <w:p w14:paraId="37D5255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tcBorders>
              <w:bottom w:val="single" w:color="auto" w:sz="12" w:space="0"/>
            </w:tcBorders>
            <w:vAlign w:val="center"/>
          </w:tcPr>
          <w:p w14:paraId="18DA683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134" w:type="dxa"/>
            <w:tcBorders>
              <w:bottom w:val="single" w:color="auto" w:sz="12" w:space="0"/>
            </w:tcBorders>
            <w:vAlign w:val="center"/>
          </w:tcPr>
          <w:p w14:paraId="627193D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4252" w:type="dxa"/>
            <w:tcBorders>
              <w:bottom w:val="single" w:color="auto" w:sz="12" w:space="0"/>
            </w:tcBorders>
            <w:vAlign w:val="center"/>
          </w:tcPr>
          <w:p w14:paraId="0932515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bl>
    <w:p w14:paraId="2446D3DB">
      <w:pPr>
        <w:spacing w:line="34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br w:type="page"/>
      </w:r>
      <w:bookmarkStart w:id="626" w:name="_Toc267261701"/>
      <w:r>
        <w:rPr>
          <w:rFonts w:hint="eastAsia" w:ascii="宋体" w:hAnsi="宋体" w:cs="宋体"/>
          <w:color w:val="000000" w:themeColor="text1"/>
          <w:kern w:val="21"/>
          <w:szCs w:val="21"/>
          <w:highlight w:val="none"/>
          <w14:textFill>
            <w14:solidFill>
              <w14:schemeClr w14:val="tx1"/>
            </w14:solidFill>
          </w14:textFill>
        </w:rPr>
        <w:t>附</w:t>
      </w:r>
      <w:bookmarkStart w:id="627" w:name="_Toc296891059"/>
      <w:bookmarkStart w:id="628" w:name="_Toc296347230"/>
      <w:bookmarkStart w:id="629" w:name="_Toc296944570"/>
      <w:bookmarkStart w:id="630" w:name="_Toc296346732"/>
      <w:bookmarkStart w:id="631" w:name="_Toc296891271"/>
      <w:bookmarkStart w:id="632" w:name="_Toc296503231"/>
      <w:r>
        <w:rPr>
          <w:rFonts w:hint="eastAsia" w:ascii="宋体" w:hAnsi="宋体" w:cs="宋体"/>
          <w:color w:val="000000" w:themeColor="text1"/>
          <w:kern w:val="21"/>
          <w:szCs w:val="21"/>
          <w:highlight w:val="none"/>
          <w14:textFill>
            <w14:solidFill>
              <w14:schemeClr w14:val="tx1"/>
            </w14:solidFill>
          </w14:textFill>
        </w:rPr>
        <w:t>件8：</w:t>
      </w:r>
    </w:p>
    <w:bookmarkEnd w:id="626"/>
    <w:bookmarkEnd w:id="627"/>
    <w:bookmarkEnd w:id="628"/>
    <w:bookmarkEnd w:id="629"/>
    <w:bookmarkEnd w:id="630"/>
    <w:bookmarkEnd w:id="631"/>
    <w:bookmarkEnd w:id="632"/>
    <w:p w14:paraId="0247E9D8">
      <w:pPr>
        <w:spacing w:before="156" w:beforeLines="50" w:after="156" w:afterLines="50" w:line="340" w:lineRule="exact"/>
        <w:jc w:val="center"/>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履约担保</w:t>
      </w:r>
    </w:p>
    <w:p w14:paraId="0B7B331F">
      <w:pPr>
        <w:spacing w:line="48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ab/>
      </w:r>
      <w:r>
        <w:rPr>
          <w:rFonts w:hint="eastAsia" w:ascii="宋体" w:hAnsi="宋体" w:cs="宋体"/>
          <w:color w:val="000000" w:themeColor="text1"/>
          <w:kern w:val="21"/>
          <w:szCs w:val="21"/>
          <w:highlight w:val="none"/>
          <w14:textFill>
            <w14:solidFill>
              <w14:schemeClr w14:val="tx1"/>
            </w14:solidFill>
          </w14:textFill>
        </w:rPr>
        <w:t>（发包人名称）：</w:t>
      </w:r>
    </w:p>
    <w:p w14:paraId="4D4AC473">
      <w:pPr>
        <w:spacing w:line="480" w:lineRule="exact"/>
        <w:rPr>
          <w:rFonts w:ascii="宋体" w:hAnsi="宋体" w:cs="宋体"/>
          <w:color w:val="000000" w:themeColor="text1"/>
          <w:kern w:val="21"/>
          <w:szCs w:val="21"/>
          <w:highlight w:val="none"/>
          <w14:textFill>
            <w14:solidFill>
              <w14:schemeClr w14:val="tx1"/>
            </w14:solidFill>
          </w14:textFill>
        </w:rPr>
      </w:pPr>
    </w:p>
    <w:p w14:paraId="106F53DD">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鉴于</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（发包人名称，以下简称“发包人”）与</w:t>
      </w:r>
    </w:p>
    <w:p w14:paraId="05F8F4B7">
      <w:pPr>
        <w:spacing w:line="48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（承包人名称）（以下称“承包人”）于</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年</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月</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日就</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 xml:space="preserve">（工程名称）施工及有关事项协商一致共同签订《建设工程施工合同》。我方愿意无条件地、不可撤销地就承包人履行与你方签订的合同，向你方提供连带责任担保。 </w:t>
      </w:r>
    </w:p>
    <w:p w14:paraId="6D0109AC">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 担保金额人民币（大写）</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元（¥</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p>
    <w:p w14:paraId="144448EF">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2. 担保有效期自你方与承包人签订的合同生效之日起至你方签发或应签发工程接收证书之日止。</w:t>
      </w:r>
    </w:p>
    <w:p w14:paraId="68CA27F8">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 在本担保有效期内，因承包人违反合同约定的义务给你方造成经济损失时，我方在收到你方以书面形式提出的在担保金额内的赔偿要求后，在7天内无条件支付。</w:t>
      </w:r>
    </w:p>
    <w:p w14:paraId="73BE808F">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4. 你方和承包人按合同约定变更合同时，我方承担本担保规定的义务不变。</w:t>
      </w:r>
    </w:p>
    <w:p w14:paraId="33295B44">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5. 因本保函发生的纠纷，可由双方协商解决，协商不成的，任何一方均可提请</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仲裁委员会仲裁。</w:t>
      </w:r>
    </w:p>
    <w:p w14:paraId="5B1D213D">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6. 本保函自我方法定代表人（或其授权代理人）签字并加盖公章之日起生效。</w:t>
      </w:r>
    </w:p>
    <w:p w14:paraId="6B1659E7">
      <w:pPr>
        <w:spacing w:line="480" w:lineRule="exact"/>
        <w:rPr>
          <w:rFonts w:ascii="宋体" w:hAnsi="宋体" w:cs="宋体"/>
          <w:color w:val="000000" w:themeColor="text1"/>
          <w:kern w:val="21"/>
          <w:szCs w:val="21"/>
          <w:highlight w:val="none"/>
          <w14:textFill>
            <w14:solidFill>
              <w14:schemeClr w14:val="tx1"/>
            </w14:solidFill>
          </w14:textFill>
        </w:rPr>
      </w:pPr>
    </w:p>
    <w:p w14:paraId="74FB092E">
      <w:pPr>
        <w:spacing w:line="48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担 保 人：</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（盖单位章）</w:t>
      </w:r>
    </w:p>
    <w:p w14:paraId="54A69F4A">
      <w:pPr>
        <w:spacing w:line="48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法定代表人或其委托代理人：</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（签字）</w:t>
      </w:r>
    </w:p>
    <w:p w14:paraId="441F1589">
      <w:pPr>
        <w:spacing w:line="48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地    址：</w:t>
      </w:r>
      <w:r>
        <w:rPr>
          <w:rFonts w:hint="eastAsia" w:ascii="宋体" w:hAnsi="宋体" w:cs="宋体"/>
          <w:color w:val="000000" w:themeColor="text1"/>
          <w:kern w:val="21"/>
          <w:szCs w:val="21"/>
          <w:highlight w:val="none"/>
          <w:u w:val="single"/>
          <w14:textFill>
            <w14:solidFill>
              <w14:schemeClr w14:val="tx1"/>
            </w14:solidFill>
          </w14:textFill>
        </w:rPr>
        <w:t xml:space="preserve">                                      </w:t>
      </w:r>
    </w:p>
    <w:p w14:paraId="5DAA44FA">
      <w:pPr>
        <w:spacing w:line="48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邮政编码：</w:t>
      </w:r>
      <w:r>
        <w:rPr>
          <w:rFonts w:hint="eastAsia" w:ascii="宋体" w:hAnsi="宋体" w:cs="宋体"/>
          <w:color w:val="000000" w:themeColor="text1"/>
          <w:kern w:val="21"/>
          <w:szCs w:val="21"/>
          <w:highlight w:val="none"/>
          <w:u w:val="single"/>
          <w14:textFill>
            <w14:solidFill>
              <w14:schemeClr w14:val="tx1"/>
            </w14:solidFill>
          </w14:textFill>
        </w:rPr>
        <w:t xml:space="preserve">                                      </w:t>
      </w:r>
    </w:p>
    <w:p w14:paraId="433E7652">
      <w:pPr>
        <w:spacing w:line="480" w:lineRule="exac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电    话：</w:t>
      </w:r>
      <w:r>
        <w:rPr>
          <w:rFonts w:hint="eastAsia" w:ascii="宋体" w:hAnsi="宋体" w:cs="宋体"/>
          <w:color w:val="000000" w:themeColor="text1"/>
          <w:kern w:val="21"/>
          <w:szCs w:val="21"/>
          <w:highlight w:val="none"/>
          <w:u w:val="single"/>
          <w14:textFill>
            <w14:solidFill>
              <w14:schemeClr w14:val="tx1"/>
            </w14:solidFill>
          </w14:textFill>
        </w:rPr>
        <w:t xml:space="preserve">                                      </w:t>
      </w:r>
    </w:p>
    <w:p w14:paraId="58208A6D">
      <w:pPr>
        <w:spacing w:line="48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传    真：</w:t>
      </w:r>
      <w:r>
        <w:rPr>
          <w:rFonts w:hint="eastAsia" w:ascii="宋体" w:hAnsi="宋体" w:cs="宋体"/>
          <w:color w:val="000000" w:themeColor="text1"/>
          <w:kern w:val="21"/>
          <w:szCs w:val="21"/>
          <w:highlight w:val="none"/>
          <w:u w:val="single"/>
          <w14:textFill>
            <w14:solidFill>
              <w14:schemeClr w14:val="tx1"/>
            </w14:solidFill>
          </w14:textFill>
        </w:rPr>
        <w:t xml:space="preserve">                                      </w:t>
      </w:r>
    </w:p>
    <w:p w14:paraId="0A068134">
      <w:pPr>
        <w:spacing w:line="480" w:lineRule="exact"/>
        <w:jc w:val="left"/>
        <w:rPr>
          <w:rFonts w:ascii="宋体" w:hAnsi="宋体" w:cs="宋体"/>
          <w:color w:val="000000" w:themeColor="text1"/>
          <w:kern w:val="21"/>
          <w:szCs w:val="21"/>
          <w:highlight w:val="none"/>
          <w:u w:val="single"/>
          <w14:textFill>
            <w14:solidFill>
              <w14:schemeClr w14:val="tx1"/>
            </w14:solidFill>
          </w14:textFill>
        </w:rPr>
      </w:pPr>
    </w:p>
    <w:p w14:paraId="074D7108">
      <w:pPr>
        <w:spacing w:line="480" w:lineRule="exact"/>
        <w:ind w:left="1329" w:hanging="1329" w:hangingChars="63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年</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月</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日</w:t>
      </w:r>
    </w:p>
    <w:p w14:paraId="69FE56F3">
      <w:pPr>
        <w:spacing w:line="480" w:lineRule="exact"/>
        <w:ind w:left="1329" w:hanging="1329" w:hangingChars="633"/>
        <w:rPr>
          <w:rFonts w:ascii="宋体" w:hAnsi="宋体" w:cs="宋体"/>
          <w:color w:val="000000" w:themeColor="text1"/>
          <w:kern w:val="21"/>
          <w:szCs w:val="21"/>
          <w:highlight w:val="none"/>
          <w14:textFill>
            <w14:solidFill>
              <w14:schemeClr w14:val="tx1"/>
            </w14:solidFill>
          </w14:textFill>
        </w:rPr>
      </w:pPr>
    </w:p>
    <w:p w14:paraId="1DB01D04">
      <w:pPr>
        <w:spacing w:line="480" w:lineRule="exact"/>
        <w:ind w:left="1329" w:hanging="1329" w:hangingChars="633"/>
        <w:rPr>
          <w:rFonts w:ascii="宋体" w:hAnsi="宋体" w:cs="宋体"/>
          <w:color w:val="000000" w:themeColor="text1"/>
          <w:kern w:val="21"/>
          <w:szCs w:val="21"/>
          <w:highlight w:val="none"/>
          <w14:textFill>
            <w14:solidFill>
              <w14:schemeClr w14:val="tx1"/>
            </w14:solidFill>
          </w14:textFill>
        </w:rPr>
      </w:pPr>
    </w:p>
    <w:p w14:paraId="52DA661D">
      <w:pPr>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br w:type="page"/>
      </w:r>
    </w:p>
    <w:p w14:paraId="16A55B5E">
      <w:pPr>
        <w:spacing w:line="48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附</w:t>
      </w:r>
      <w:bookmarkStart w:id="633" w:name="_Toc296346733"/>
      <w:bookmarkStart w:id="634" w:name="_Toc296891272"/>
      <w:bookmarkStart w:id="635" w:name="_Toc267261702"/>
      <w:bookmarkStart w:id="636" w:name="_Toc296891060"/>
      <w:bookmarkStart w:id="637" w:name="_Toc296347231"/>
      <w:bookmarkStart w:id="638" w:name="_Toc296503232"/>
      <w:bookmarkStart w:id="639" w:name="_Toc296944571"/>
      <w:r>
        <w:rPr>
          <w:rFonts w:hint="eastAsia" w:ascii="宋体" w:hAnsi="宋体" w:cs="宋体"/>
          <w:color w:val="000000" w:themeColor="text1"/>
          <w:kern w:val="21"/>
          <w:szCs w:val="21"/>
          <w:highlight w:val="none"/>
          <w14:textFill>
            <w14:solidFill>
              <w14:schemeClr w14:val="tx1"/>
            </w14:solidFill>
          </w14:textFill>
        </w:rPr>
        <w:t>件9 ：</w:t>
      </w:r>
    </w:p>
    <w:bookmarkEnd w:id="633"/>
    <w:bookmarkEnd w:id="634"/>
    <w:bookmarkEnd w:id="635"/>
    <w:bookmarkEnd w:id="636"/>
    <w:bookmarkEnd w:id="637"/>
    <w:bookmarkEnd w:id="638"/>
    <w:bookmarkEnd w:id="639"/>
    <w:p w14:paraId="7C975808">
      <w:pPr>
        <w:spacing w:before="156" w:beforeLines="50" w:after="156" w:afterLines="50" w:line="480" w:lineRule="exact"/>
        <w:jc w:val="center"/>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预付款担保</w:t>
      </w:r>
    </w:p>
    <w:p w14:paraId="32923803">
      <w:pPr>
        <w:spacing w:line="48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ab/>
      </w:r>
      <w:r>
        <w:rPr>
          <w:rFonts w:hint="eastAsia" w:ascii="宋体" w:hAnsi="宋体" w:cs="宋体"/>
          <w:color w:val="000000" w:themeColor="text1"/>
          <w:kern w:val="21"/>
          <w:szCs w:val="21"/>
          <w:highlight w:val="none"/>
          <w:u w:val="single"/>
          <w14:textFill>
            <w14:solidFill>
              <w14:schemeClr w14:val="tx1"/>
            </w14:solidFill>
          </w14:textFill>
        </w:rPr>
        <w:tab/>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 xml:space="preserve"> （发包人名称）：</w:t>
      </w:r>
    </w:p>
    <w:p w14:paraId="42A607A8">
      <w:pPr>
        <w:spacing w:line="480" w:lineRule="exact"/>
        <w:rPr>
          <w:rFonts w:ascii="宋体" w:hAnsi="宋体" w:cs="宋体"/>
          <w:color w:val="000000" w:themeColor="text1"/>
          <w:kern w:val="21"/>
          <w:szCs w:val="21"/>
          <w:highlight w:val="none"/>
          <w14:textFill>
            <w14:solidFill>
              <w14:schemeClr w14:val="tx1"/>
            </w14:solidFill>
          </w14:textFill>
        </w:rPr>
      </w:pPr>
    </w:p>
    <w:p w14:paraId="105B2475">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根据</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（承包人名称）（以下称“承包人”）与</w:t>
      </w:r>
    </w:p>
    <w:p w14:paraId="0A3F1FCD">
      <w:pPr>
        <w:spacing w:line="480" w:lineRule="exact"/>
        <w:outlineLvl w:val="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u w:val="single"/>
          <w14:textFill>
            <w14:solidFill>
              <w14:schemeClr w14:val="tx1"/>
            </w14:solidFill>
          </w14:textFill>
        </w:rPr>
        <w:t xml:space="preserve">                        </w:t>
      </w:r>
      <w:bookmarkStart w:id="640" w:name="_Toc16361"/>
      <w:r>
        <w:rPr>
          <w:rFonts w:hint="eastAsia" w:ascii="宋体" w:hAnsi="宋体" w:cs="宋体"/>
          <w:color w:val="000000" w:themeColor="text1"/>
          <w:kern w:val="21"/>
          <w:szCs w:val="21"/>
          <w:highlight w:val="none"/>
          <w14:textFill>
            <w14:solidFill>
              <w14:schemeClr w14:val="tx1"/>
            </w14:solidFill>
          </w14:textFill>
        </w:rPr>
        <w:t>（发包人名称）（以下简称“发包人”）</w:t>
      </w:r>
      <w:bookmarkEnd w:id="640"/>
    </w:p>
    <w:p w14:paraId="25884663">
      <w:pPr>
        <w:spacing w:line="48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于</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年</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月</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日签订的</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（工程名称）《建设工程施工合同》，承包人按约定的金额向你方提交一份预付款担保，即有权得到你方支付相等金额的预付款。我方愿意就你方提供给承包人的预付款为承包人提供连带责任担保。</w:t>
      </w:r>
    </w:p>
    <w:p w14:paraId="1AFE18D1">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 担保金额人民币（大写）</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元（¥</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p>
    <w:p w14:paraId="0B405718">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2. 担保有效期自预付款支付给承包人起生效，至你方签发的进度款支付证书说明已完全扣清止。</w:t>
      </w:r>
    </w:p>
    <w:p w14:paraId="085E4CD3">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29D43C48">
      <w:pPr>
        <w:spacing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4. 你方和承包人按合同约定变更合同时，我方承担本保函规定的义务不变。</w:t>
      </w:r>
    </w:p>
    <w:p w14:paraId="211602D9">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5. 因本保函发生的纠纷，可由双方协商解决，协商不成的，任何一方均可提请</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仲裁委员会仲裁。</w:t>
      </w:r>
    </w:p>
    <w:p w14:paraId="3A6C6A82">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6. 本保函自我方法定代表人（或其授权代理人）签字并加盖公章之日起生效。</w:t>
      </w:r>
    </w:p>
    <w:p w14:paraId="403BBE49">
      <w:pPr>
        <w:spacing w:line="480" w:lineRule="exact"/>
        <w:rPr>
          <w:rFonts w:ascii="宋体" w:hAnsi="宋体" w:cs="宋体"/>
          <w:color w:val="000000" w:themeColor="text1"/>
          <w:kern w:val="21"/>
          <w:szCs w:val="21"/>
          <w:highlight w:val="none"/>
          <w14:textFill>
            <w14:solidFill>
              <w14:schemeClr w14:val="tx1"/>
            </w14:solidFill>
          </w14:textFill>
        </w:rPr>
      </w:pPr>
    </w:p>
    <w:p w14:paraId="08B1A136">
      <w:pPr>
        <w:spacing w:line="48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担保人：</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（盖单位章）</w:t>
      </w:r>
    </w:p>
    <w:p w14:paraId="623CB3D8">
      <w:pPr>
        <w:spacing w:line="48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法定代表人或其委托代理人：</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（签字）</w:t>
      </w:r>
    </w:p>
    <w:p w14:paraId="19490195">
      <w:pPr>
        <w:spacing w:line="48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地    址：</w:t>
      </w:r>
      <w:r>
        <w:rPr>
          <w:rFonts w:hint="eastAsia" w:ascii="宋体" w:hAnsi="宋体" w:cs="宋体"/>
          <w:color w:val="000000" w:themeColor="text1"/>
          <w:kern w:val="21"/>
          <w:szCs w:val="21"/>
          <w:highlight w:val="none"/>
          <w:u w:val="single"/>
          <w14:textFill>
            <w14:solidFill>
              <w14:schemeClr w14:val="tx1"/>
            </w14:solidFill>
          </w14:textFill>
        </w:rPr>
        <w:tab/>
      </w:r>
      <w:r>
        <w:rPr>
          <w:rFonts w:hint="eastAsia" w:ascii="宋体" w:hAnsi="宋体" w:cs="宋体"/>
          <w:color w:val="000000" w:themeColor="text1"/>
          <w:kern w:val="21"/>
          <w:szCs w:val="21"/>
          <w:highlight w:val="none"/>
          <w:u w:val="single"/>
          <w14:textFill>
            <w14:solidFill>
              <w14:schemeClr w14:val="tx1"/>
            </w14:solidFill>
          </w14:textFill>
        </w:rPr>
        <w:tab/>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ab/>
      </w:r>
      <w:r>
        <w:rPr>
          <w:rFonts w:hint="eastAsia" w:ascii="宋体" w:hAnsi="宋体" w:cs="宋体"/>
          <w:color w:val="000000" w:themeColor="text1"/>
          <w:kern w:val="21"/>
          <w:szCs w:val="21"/>
          <w:highlight w:val="none"/>
          <w:u w:val="single"/>
          <w14:textFill>
            <w14:solidFill>
              <w14:schemeClr w14:val="tx1"/>
            </w14:solidFill>
          </w14:textFill>
        </w:rPr>
        <w:tab/>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ab/>
      </w:r>
      <w:r>
        <w:rPr>
          <w:rFonts w:hint="eastAsia" w:ascii="宋体" w:hAnsi="宋体" w:cs="宋体"/>
          <w:color w:val="000000" w:themeColor="text1"/>
          <w:kern w:val="21"/>
          <w:szCs w:val="21"/>
          <w:highlight w:val="none"/>
          <w:u w:val="single"/>
          <w14:textFill>
            <w14:solidFill>
              <w14:schemeClr w14:val="tx1"/>
            </w14:solidFill>
          </w14:textFill>
        </w:rPr>
        <w:tab/>
      </w:r>
      <w:r>
        <w:rPr>
          <w:rFonts w:hint="eastAsia" w:ascii="宋体" w:hAnsi="宋体" w:cs="宋体"/>
          <w:color w:val="000000" w:themeColor="text1"/>
          <w:kern w:val="21"/>
          <w:szCs w:val="21"/>
          <w:highlight w:val="none"/>
          <w:u w:val="single"/>
          <w14:textFill>
            <w14:solidFill>
              <w14:schemeClr w14:val="tx1"/>
            </w14:solidFill>
          </w14:textFill>
        </w:rPr>
        <w:tab/>
      </w:r>
    </w:p>
    <w:p w14:paraId="21056A95">
      <w:pPr>
        <w:spacing w:line="480" w:lineRule="exac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邮政编码：</w:t>
      </w:r>
      <w:r>
        <w:rPr>
          <w:rFonts w:hint="eastAsia" w:ascii="宋体" w:hAnsi="宋体" w:cs="宋体"/>
          <w:color w:val="000000" w:themeColor="text1"/>
          <w:kern w:val="21"/>
          <w:szCs w:val="21"/>
          <w:highlight w:val="none"/>
          <w:u w:val="single"/>
          <w14:textFill>
            <w14:solidFill>
              <w14:schemeClr w14:val="tx1"/>
            </w14:solidFill>
          </w14:textFill>
        </w:rPr>
        <w:tab/>
      </w:r>
      <w:r>
        <w:rPr>
          <w:rFonts w:hint="eastAsia" w:ascii="宋体" w:hAnsi="宋体" w:cs="宋体"/>
          <w:color w:val="000000" w:themeColor="text1"/>
          <w:kern w:val="21"/>
          <w:szCs w:val="21"/>
          <w:highlight w:val="none"/>
          <w:u w:val="single"/>
          <w14:textFill>
            <w14:solidFill>
              <w14:schemeClr w14:val="tx1"/>
            </w14:solidFill>
          </w14:textFill>
        </w:rPr>
        <w:tab/>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ab/>
      </w:r>
      <w:r>
        <w:rPr>
          <w:rFonts w:hint="eastAsia" w:ascii="宋体" w:hAnsi="宋体" w:cs="宋体"/>
          <w:color w:val="000000" w:themeColor="text1"/>
          <w:kern w:val="21"/>
          <w:szCs w:val="21"/>
          <w:highlight w:val="none"/>
          <w:u w:val="single"/>
          <w14:textFill>
            <w14:solidFill>
              <w14:schemeClr w14:val="tx1"/>
            </w14:solidFill>
          </w14:textFill>
        </w:rPr>
        <w:tab/>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ab/>
      </w:r>
      <w:r>
        <w:rPr>
          <w:rFonts w:hint="eastAsia" w:ascii="宋体" w:hAnsi="宋体" w:cs="宋体"/>
          <w:color w:val="000000" w:themeColor="text1"/>
          <w:kern w:val="21"/>
          <w:szCs w:val="21"/>
          <w:highlight w:val="none"/>
          <w:u w:val="single"/>
          <w14:textFill>
            <w14:solidFill>
              <w14:schemeClr w14:val="tx1"/>
            </w14:solidFill>
          </w14:textFill>
        </w:rPr>
        <w:tab/>
      </w:r>
      <w:r>
        <w:rPr>
          <w:rFonts w:hint="eastAsia" w:ascii="宋体" w:hAnsi="宋体" w:cs="宋体"/>
          <w:color w:val="000000" w:themeColor="text1"/>
          <w:kern w:val="21"/>
          <w:szCs w:val="21"/>
          <w:highlight w:val="none"/>
          <w:u w:val="single"/>
          <w14:textFill>
            <w14:solidFill>
              <w14:schemeClr w14:val="tx1"/>
            </w14:solidFill>
          </w14:textFill>
        </w:rPr>
        <w:tab/>
      </w:r>
    </w:p>
    <w:p w14:paraId="23F91249">
      <w:pPr>
        <w:spacing w:line="480" w:lineRule="exac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电    话：</w:t>
      </w:r>
      <w:r>
        <w:rPr>
          <w:rFonts w:hint="eastAsia" w:ascii="宋体" w:hAnsi="宋体" w:cs="宋体"/>
          <w:color w:val="000000" w:themeColor="text1"/>
          <w:kern w:val="21"/>
          <w:szCs w:val="21"/>
          <w:highlight w:val="none"/>
          <w:u w:val="single"/>
          <w14:textFill>
            <w14:solidFill>
              <w14:schemeClr w14:val="tx1"/>
            </w14:solidFill>
          </w14:textFill>
        </w:rPr>
        <w:tab/>
      </w:r>
      <w:r>
        <w:rPr>
          <w:rFonts w:hint="eastAsia" w:ascii="宋体" w:hAnsi="宋体" w:cs="宋体"/>
          <w:color w:val="000000" w:themeColor="text1"/>
          <w:kern w:val="21"/>
          <w:szCs w:val="21"/>
          <w:highlight w:val="none"/>
          <w:u w:val="single"/>
          <w14:textFill>
            <w14:solidFill>
              <w14:schemeClr w14:val="tx1"/>
            </w14:solidFill>
          </w14:textFill>
        </w:rPr>
        <w:tab/>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ab/>
      </w:r>
      <w:r>
        <w:rPr>
          <w:rFonts w:hint="eastAsia" w:ascii="宋体" w:hAnsi="宋体" w:cs="宋体"/>
          <w:color w:val="000000" w:themeColor="text1"/>
          <w:kern w:val="21"/>
          <w:szCs w:val="21"/>
          <w:highlight w:val="none"/>
          <w:u w:val="single"/>
          <w14:textFill>
            <w14:solidFill>
              <w14:schemeClr w14:val="tx1"/>
            </w14:solidFill>
          </w14:textFill>
        </w:rPr>
        <w:tab/>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ab/>
      </w:r>
      <w:r>
        <w:rPr>
          <w:rFonts w:hint="eastAsia" w:ascii="宋体" w:hAnsi="宋体" w:cs="宋体"/>
          <w:color w:val="000000" w:themeColor="text1"/>
          <w:kern w:val="21"/>
          <w:szCs w:val="21"/>
          <w:highlight w:val="none"/>
          <w:u w:val="single"/>
          <w14:textFill>
            <w14:solidFill>
              <w14:schemeClr w14:val="tx1"/>
            </w14:solidFill>
          </w14:textFill>
        </w:rPr>
        <w:tab/>
      </w:r>
      <w:r>
        <w:rPr>
          <w:rFonts w:hint="eastAsia" w:ascii="宋体" w:hAnsi="宋体" w:cs="宋体"/>
          <w:color w:val="000000" w:themeColor="text1"/>
          <w:kern w:val="21"/>
          <w:szCs w:val="21"/>
          <w:highlight w:val="none"/>
          <w:u w:val="single"/>
          <w14:textFill>
            <w14:solidFill>
              <w14:schemeClr w14:val="tx1"/>
            </w14:solidFill>
          </w14:textFill>
        </w:rPr>
        <w:tab/>
      </w:r>
    </w:p>
    <w:p w14:paraId="62E866D9">
      <w:pPr>
        <w:spacing w:line="480" w:lineRule="exact"/>
        <w:rPr>
          <w:rFonts w:ascii="宋体" w:hAnsi="宋体" w:cs="宋体"/>
          <w:color w:val="000000" w:themeColor="text1"/>
          <w:kern w:val="21"/>
          <w:szCs w:val="21"/>
          <w:highlight w:val="none"/>
          <w:u w:val="singl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传    真：</w:t>
      </w:r>
      <w:r>
        <w:rPr>
          <w:rFonts w:hint="eastAsia" w:ascii="宋体" w:hAnsi="宋体" w:cs="宋体"/>
          <w:color w:val="000000" w:themeColor="text1"/>
          <w:kern w:val="21"/>
          <w:szCs w:val="21"/>
          <w:highlight w:val="none"/>
          <w:u w:val="single"/>
          <w14:textFill>
            <w14:solidFill>
              <w14:schemeClr w14:val="tx1"/>
            </w14:solidFill>
          </w14:textFill>
        </w:rPr>
        <w:tab/>
      </w:r>
      <w:r>
        <w:rPr>
          <w:rFonts w:hint="eastAsia" w:ascii="宋体" w:hAnsi="宋体" w:cs="宋体"/>
          <w:color w:val="000000" w:themeColor="text1"/>
          <w:kern w:val="21"/>
          <w:szCs w:val="21"/>
          <w:highlight w:val="none"/>
          <w:u w:val="single"/>
          <w14:textFill>
            <w14:solidFill>
              <w14:schemeClr w14:val="tx1"/>
            </w14:solidFill>
          </w14:textFill>
        </w:rPr>
        <w:tab/>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ab/>
      </w:r>
      <w:r>
        <w:rPr>
          <w:rFonts w:hint="eastAsia" w:ascii="宋体" w:hAnsi="宋体" w:cs="宋体"/>
          <w:color w:val="000000" w:themeColor="text1"/>
          <w:kern w:val="21"/>
          <w:szCs w:val="21"/>
          <w:highlight w:val="none"/>
          <w:u w:val="single"/>
          <w14:textFill>
            <w14:solidFill>
              <w14:schemeClr w14:val="tx1"/>
            </w14:solidFill>
          </w14:textFill>
        </w:rPr>
        <w:tab/>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ab/>
      </w:r>
      <w:r>
        <w:rPr>
          <w:rFonts w:hint="eastAsia" w:ascii="宋体" w:hAnsi="宋体" w:cs="宋体"/>
          <w:color w:val="000000" w:themeColor="text1"/>
          <w:kern w:val="21"/>
          <w:szCs w:val="21"/>
          <w:highlight w:val="none"/>
          <w:u w:val="single"/>
          <w14:textFill>
            <w14:solidFill>
              <w14:schemeClr w14:val="tx1"/>
            </w14:solidFill>
          </w14:textFill>
        </w:rPr>
        <w:tab/>
      </w:r>
      <w:r>
        <w:rPr>
          <w:rFonts w:hint="eastAsia" w:ascii="宋体" w:hAnsi="宋体" w:cs="宋体"/>
          <w:color w:val="000000" w:themeColor="text1"/>
          <w:kern w:val="21"/>
          <w:szCs w:val="21"/>
          <w:highlight w:val="none"/>
          <w:u w:val="single"/>
          <w14:textFill>
            <w14:solidFill>
              <w14:schemeClr w14:val="tx1"/>
            </w14:solidFill>
          </w14:textFill>
        </w:rPr>
        <w:tab/>
      </w:r>
    </w:p>
    <w:p w14:paraId="09B232FC">
      <w:pPr>
        <w:spacing w:line="48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年</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月</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日</w:t>
      </w:r>
    </w:p>
    <w:p w14:paraId="6831C917">
      <w:pPr>
        <w:spacing w:line="48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b/>
          <w:color w:val="000000" w:themeColor="text1"/>
          <w:kern w:val="21"/>
          <w:szCs w:val="21"/>
          <w:highlight w:val="none"/>
          <w14:textFill>
            <w14:solidFill>
              <w14:schemeClr w14:val="tx1"/>
            </w14:solidFill>
          </w14:textFill>
        </w:rPr>
        <w:br w:type="page"/>
      </w:r>
      <w:r>
        <w:rPr>
          <w:rFonts w:hint="eastAsia" w:ascii="宋体" w:hAnsi="宋体" w:cs="宋体"/>
          <w:color w:val="000000" w:themeColor="text1"/>
          <w:kern w:val="21"/>
          <w:szCs w:val="21"/>
          <w:highlight w:val="none"/>
          <w14:textFill>
            <w14:solidFill>
              <w14:schemeClr w14:val="tx1"/>
            </w14:solidFill>
          </w14:textFill>
        </w:rPr>
        <w:t>附</w:t>
      </w:r>
      <w:bookmarkStart w:id="641" w:name="_Toc296944572"/>
      <w:bookmarkStart w:id="642" w:name="_Toc296503233"/>
      <w:bookmarkStart w:id="643" w:name="_Toc296347232"/>
      <w:bookmarkStart w:id="644" w:name="_Toc296891273"/>
      <w:bookmarkStart w:id="645" w:name="_Toc296346734"/>
      <w:bookmarkStart w:id="646" w:name="_Toc296891061"/>
      <w:r>
        <w:rPr>
          <w:rFonts w:hint="eastAsia" w:ascii="宋体" w:hAnsi="宋体" w:cs="宋体"/>
          <w:color w:val="000000" w:themeColor="text1"/>
          <w:kern w:val="21"/>
          <w:szCs w:val="21"/>
          <w:highlight w:val="none"/>
          <w14:textFill>
            <w14:solidFill>
              <w14:schemeClr w14:val="tx1"/>
            </w14:solidFill>
          </w14:textFill>
        </w:rPr>
        <w:t xml:space="preserve">件10:  </w:t>
      </w:r>
    </w:p>
    <w:bookmarkEnd w:id="641"/>
    <w:bookmarkEnd w:id="642"/>
    <w:bookmarkEnd w:id="643"/>
    <w:bookmarkEnd w:id="644"/>
    <w:bookmarkEnd w:id="645"/>
    <w:bookmarkEnd w:id="646"/>
    <w:p w14:paraId="1E9453EA">
      <w:pPr>
        <w:spacing w:before="156" w:beforeLines="50" w:after="156" w:afterLines="50" w:line="340" w:lineRule="exact"/>
        <w:jc w:val="center"/>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支付担保</w:t>
      </w:r>
    </w:p>
    <w:p w14:paraId="16D928C5">
      <w:pPr>
        <w:spacing w:line="420" w:lineRule="exact"/>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（承包人）：</w:t>
      </w:r>
    </w:p>
    <w:p w14:paraId="0A1DDD60">
      <w:pPr>
        <w:spacing w:line="420" w:lineRule="exact"/>
        <w:jc w:val="left"/>
        <w:rPr>
          <w:rFonts w:ascii="宋体" w:hAnsi="宋体" w:cs="宋体"/>
          <w:color w:val="000000" w:themeColor="text1"/>
          <w:kern w:val="21"/>
          <w:szCs w:val="21"/>
          <w:highlight w:val="none"/>
          <w14:textFill>
            <w14:solidFill>
              <w14:schemeClr w14:val="tx1"/>
            </w14:solidFill>
          </w14:textFill>
        </w:rPr>
      </w:pPr>
    </w:p>
    <w:p w14:paraId="353E2854">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鉴于你方作为承包人已经与</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（发包人名称）（以下称“发包人”）于</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年</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月</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日签订了</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（工程名称）《建设工程施工合同》（以下称“主合同”），应发包人的申请，我方愿就发包人履行主合同约定的工程款支付义务以保证的方式向你方提供如下担保：</w:t>
      </w:r>
    </w:p>
    <w:p w14:paraId="09BDBF9E">
      <w:pPr>
        <w:spacing w:line="480" w:lineRule="exact"/>
        <w:ind w:firstLine="420" w:firstLineChars="200"/>
        <w:jc w:val="left"/>
        <w:outlineLvl w:val="0"/>
        <w:rPr>
          <w:rFonts w:ascii="宋体" w:hAnsi="宋体" w:cs="宋体"/>
          <w:color w:val="000000" w:themeColor="text1"/>
          <w:kern w:val="21"/>
          <w:szCs w:val="21"/>
          <w:highlight w:val="none"/>
          <w14:textFill>
            <w14:solidFill>
              <w14:schemeClr w14:val="tx1"/>
            </w14:solidFill>
          </w14:textFill>
        </w:rPr>
      </w:pPr>
      <w:bookmarkStart w:id="647" w:name="_Toc24930"/>
      <w:r>
        <w:rPr>
          <w:rFonts w:hint="eastAsia" w:ascii="宋体" w:hAnsi="宋体" w:cs="宋体"/>
          <w:color w:val="000000" w:themeColor="text1"/>
          <w:kern w:val="21"/>
          <w:szCs w:val="21"/>
          <w:highlight w:val="none"/>
          <w14:textFill>
            <w14:solidFill>
              <w14:schemeClr w14:val="tx1"/>
            </w14:solidFill>
          </w14:textFill>
        </w:rPr>
        <w:t>一、保证的范围及保证金额</w:t>
      </w:r>
      <w:bookmarkEnd w:id="647"/>
    </w:p>
    <w:p w14:paraId="2BBC5D5E">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 我方的保证范围是主合同约定的工程款。</w:t>
      </w:r>
    </w:p>
    <w:p w14:paraId="00328B45">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2. 本保函所称主合同约定的工程款是指主合同约定的除工程质量保证金以外的合同价款。</w:t>
      </w:r>
    </w:p>
    <w:p w14:paraId="3A14A5E1">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 我方保证的金额是主合同约定的工程款的</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%，数额最高不超过人民币元（大写：</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w:t>
      </w:r>
    </w:p>
    <w:p w14:paraId="067A3DBE">
      <w:pPr>
        <w:spacing w:line="480" w:lineRule="exact"/>
        <w:ind w:firstLine="420" w:firstLineChars="200"/>
        <w:jc w:val="left"/>
        <w:outlineLvl w:val="0"/>
        <w:rPr>
          <w:rFonts w:ascii="宋体" w:hAnsi="宋体" w:cs="宋体"/>
          <w:color w:val="000000" w:themeColor="text1"/>
          <w:kern w:val="21"/>
          <w:szCs w:val="21"/>
          <w:highlight w:val="none"/>
          <w14:textFill>
            <w14:solidFill>
              <w14:schemeClr w14:val="tx1"/>
            </w14:solidFill>
          </w14:textFill>
        </w:rPr>
      </w:pPr>
      <w:bookmarkStart w:id="648" w:name="_Toc26615"/>
      <w:r>
        <w:rPr>
          <w:rFonts w:hint="eastAsia" w:ascii="宋体" w:hAnsi="宋体" w:cs="宋体"/>
          <w:color w:val="000000" w:themeColor="text1"/>
          <w:kern w:val="21"/>
          <w:szCs w:val="21"/>
          <w:highlight w:val="none"/>
          <w14:textFill>
            <w14:solidFill>
              <w14:schemeClr w14:val="tx1"/>
            </w14:solidFill>
          </w14:textFill>
        </w:rPr>
        <w:t>二、保证的方式及保证期间</w:t>
      </w:r>
      <w:bookmarkEnd w:id="648"/>
    </w:p>
    <w:p w14:paraId="5439518D">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 我方保证的方式为：连带责任保证。</w:t>
      </w:r>
    </w:p>
    <w:p w14:paraId="5DB4E02D">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2. 我方保证的期间为：自本合同生效之日起至主合同约定的工程款支付完毕之日后</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日内。</w:t>
      </w:r>
    </w:p>
    <w:p w14:paraId="52332A2F">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 你方与发包人协议变更工程款支付日期的，经我方书面同意后，保证期间按照变更后的支付日期做相应调整。</w:t>
      </w:r>
    </w:p>
    <w:p w14:paraId="55B11BB8">
      <w:pPr>
        <w:spacing w:line="480" w:lineRule="exact"/>
        <w:ind w:firstLine="420" w:firstLineChars="200"/>
        <w:jc w:val="left"/>
        <w:outlineLvl w:val="0"/>
        <w:rPr>
          <w:rFonts w:ascii="宋体" w:hAnsi="宋体" w:cs="宋体"/>
          <w:color w:val="000000" w:themeColor="text1"/>
          <w:kern w:val="21"/>
          <w:szCs w:val="21"/>
          <w:highlight w:val="none"/>
          <w14:textFill>
            <w14:solidFill>
              <w14:schemeClr w14:val="tx1"/>
            </w14:solidFill>
          </w14:textFill>
        </w:rPr>
      </w:pPr>
      <w:bookmarkStart w:id="649" w:name="_Toc31657"/>
      <w:r>
        <w:rPr>
          <w:rFonts w:hint="eastAsia" w:ascii="宋体" w:hAnsi="宋体" w:cs="宋体"/>
          <w:color w:val="000000" w:themeColor="text1"/>
          <w:kern w:val="21"/>
          <w:szCs w:val="21"/>
          <w:highlight w:val="none"/>
          <w14:textFill>
            <w14:solidFill>
              <w14:schemeClr w14:val="tx1"/>
            </w14:solidFill>
          </w14:textFill>
        </w:rPr>
        <w:t>三、承担保证责任的形式</w:t>
      </w:r>
      <w:bookmarkEnd w:id="649"/>
    </w:p>
    <w:p w14:paraId="5C63E6AD">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我方承担保证责任的形式是代为支付。发包人未按主合同约定向你方支付工程款的，由我方在保证金额内代为支付。</w:t>
      </w:r>
    </w:p>
    <w:p w14:paraId="5B126DB7">
      <w:pPr>
        <w:spacing w:line="480" w:lineRule="exact"/>
        <w:ind w:firstLine="420" w:firstLineChars="200"/>
        <w:jc w:val="left"/>
        <w:outlineLvl w:val="0"/>
        <w:rPr>
          <w:rFonts w:ascii="宋体" w:hAnsi="宋体" w:cs="宋体"/>
          <w:color w:val="000000" w:themeColor="text1"/>
          <w:kern w:val="21"/>
          <w:szCs w:val="21"/>
          <w:highlight w:val="none"/>
          <w14:textFill>
            <w14:solidFill>
              <w14:schemeClr w14:val="tx1"/>
            </w14:solidFill>
          </w14:textFill>
        </w:rPr>
      </w:pPr>
      <w:bookmarkStart w:id="650" w:name="_Toc20719"/>
      <w:r>
        <w:rPr>
          <w:rFonts w:hint="eastAsia" w:ascii="宋体" w:hAnsi="宋体" w:cs="宋体"/>
          <w:color w:val="000000" w:themeColor="text1"/>
          <w:kern w:val="21"/>
          <w:szCs w:val="21"/>
          <w:highlight w:val="none"/>
          <w14:textFill>
            <w14:solidFill>
              <w14:schemeClr w14:val="tx1"/>
            </w14:solidFill>
          </w14:textFill>
        </w:rPr>
        <w:t>四、代偿的安排</w:t>
      </w:r>
      <w:bookmarkEnd w:id="650"/>
    </w:p>
    <w:p w14:paraId="5AD7D786">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 你方要求我方承担保证责任的，应向我方发出书面索赔通知及发包人未支付主合同约定工程款的证明材料。索赔通知应写明要求索赔的金额，支付款项应到达的账号。</w:t>
      </w:r>
    </w:p>
    <w:p w14:paraId="64D5589D">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2. 在出现你方与发包人因工程质量发生争议，发包人拒绝向你方支付工程款的情形时，你方要求我方履行保证责任代为支付的，需提供符合相应条件要求的工程质量检测机构出具的质量说明材料。</w:t>
      </w:r>
    </w:p>
    <w:p w14:paraId="195CFE51">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 我方收到你方的书面索赔通知及相应的证明材料后７天内无条件支付。</w:t>
      </w:r>
    </w:p>
    <w:p w14:paraId="50BAE8C7">
      <w:pPr>
        <w:spacing w:line="480" w:lineRule="exact"/>
        <w:ind w:firstLine="420" w:firstLineChars="200"/>
        <w:jc w:val="left"/>
        <w:outlineLvl w:val="0"/>
        <w:rPr>
          <w:rFonts w:ascii="宋体" w:hAnsi="宋体" w:cs="宋体"/>
          <w:color w:val="000000" w:themeColor="text1"/>
          <w:kern w:val="21"/>
          <w:szCs w:val="21"/>
          <w:highlight w:val="none"/>
          <w14:textFill>
            <w14:solidFill>
              <w14:schemeClr w14:val="tx1"/>
            </w14:solidFill>
          </w14:textFill>
        </w:rPr>
      </w:pPr>
      <w:bookmarkStart w:id="651" w:name="_Toc19455"/>
      <w:r>
        <w:rPr>
          <w:rFonts w:hint="eastAsia" w:ascii="宋体" w:hAnsi="宋体" w:cs="宋体"/>
          <w:color w:val="000000" w:themeColor="text1"/>
          <w:kern w:val="21"/>
          <w:szCs w:val="21"/>
          <w:highlight w:val="none"/>
          <w14:textFill>
            <w14:solidFill>
              <w14:schemeClr w14:val="tx1"/>
            </w14:solidFill>
          </w14:textFill>
        </w:rPr>
        <w:t>五、保证责任的解除</w:t>
      </w:r>
      <w:bookmarkEnd w:id="651"/>
    </w:p>
    <w:p w14:paraId="14B550DE">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 在本保函承诺的保证期间内，你方未书面向我方主张保证责任的，自保证期间届满次日起，我方保证责任解除。</w:t>
      </w:r>
    </w:p>
    <w:p w14:paraId="6FF94632">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2. 发包人按主合同约定履行了工程款的全部支付义务的，自本保函承诺的保证期间届满次日起，我方保证责任解除。</w:t>
      </w:r>
    </w:p>
    <w:p w14:paraId="24D53FCC">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 我方按照本保函向你方履行保证责任所支付金额达到本保函保证金额时，自我方向你方支付（支付款项从我方账户划出）之日起，保证责任即解除。</w:t>
      </w:r>
    </w:p>
    <w:p w14:paraId="45588317">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4. 按照法律法规的规定或出现应解除我方保证责任的其他情形的，我方在本保函项下的保证责任亦解除。</w:t>
      </w:r>
    </w:p>
    <w:p w14:paraId="20E39411">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5. 我方解除保证责任后，你方应自我方保证责任解除之日起</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个工作日内，将本保函原件返还我方。</w:t>
      </w:r>
    </w:p>
    <w:p w14:paraId="39255A2B">
      <w:pPr>
        <w:spacing w:line="480" w:lineRule="exact"/>
        <w:ind w:firstLine="420" w:firstLineChars="200"/>
        <w:jc w:val="left"/>
        <w:outlineLvl w:val="0"/>
        <w:rPr>
          <w:rFonts w:ascii="宋体" w:hAnsi="宋体" w:cs="宋体"/>
          <w:color w:val="000000" w:themeColor="text1"/>
          <w:kern w:val="21"/>
          <w:szCs w:val="21"/>
          <w:highlight w:val="none"/>
          <w14:textFill>
            <w14:solidFill>
              <w14:schemeClr w14:val="tx1"/>
            </w14:solidFill>
          </w14:textFill>
        </w:rPr>
      </w:pPr>
      <w:bookmarkStart w:id="652" w:name="_Toc9819"/>
      <w:r>
        <w:rPr>
          <w:rFonts w:hint="eastAsia" w:ascii="宋体" w:hAnsi="宋体" w:cs="宋体"/>
          <w:color w:val="000000" w:themeColor="text1"/>
          <w:kern w:val="21"/>
          <w:szCs w:val="21"/>
          <w:highlight w:val="none"/>
          <w14:textFill>
            <w14:solidFill>
              <w14:schemeClr w14:val="tx1"/>
            </w14:solidFill>
          </w14:textFill>
        </w:rPr>
        <w:t>六、免责条款</w:t>
      </w:r>
      <w:bookmarkEnd w:id="652"/>
    </w:p>
    <w:p w14:paraId="03DE2A78">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 因你方违约致使发包人不能履行义务的，我方不承担保证责任。</w:t>
      </w:r>
    </w:p>
    <w:p w14:paraId="4C8F5BDF">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2. 依照法律法规的规定或你方与发包人的另行约定，免除发包人部分或全部义务的，我方亦免除其相应的保证责任。</w:t>
      </w:r>
    </w:p>
    <w:p w14:paraId="18CFD90C">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3. 你方与发包人协议变更主合同的，如加重发包人责任致使我方保证责任加重的，需征得我方书面同意，否则我方不再承担因此而加重部分的保证责任，但主合同第10条〔变更〕约定的变更不受本款限制。</w:t>
      </w:r>
    </w:p>
    <w:p w14:paraId="31E9CBE2">
      <w:pPr>
        <w:spacing w:line="480" w:lineRule="exact"/>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4. 因不可抗力造成发包人不能履行义务的，我方不承担保证责任。</w:t>
      </w:r>
    </w:p>
    <w:p w14:paraId="0163F81C">
      <w:pPr>
        <w:spacing w:line="480" w:lineRule="exact"/>
        <w:ind w:firstLine="420" w:firstLineChars="200"/>
        <w:jc w:val="left"/>
        <w:outlineLvl w:val="0"/>
        <w:rPr>
          <w:rFonts w:ascii="宋体" w:hAnsi="宋体" w:cs="宋体"/>
          <w:color w:val="000000" w:themeColor="text1"/>
          <w:kern w:val="21"/>
          <w:szCs w:val="21"/>
          <w:highlight w:val="none"/>
          <w14:textFill>
            <w14:solidFill>
              <w14:schemeClr w14:val="tx1"/>
            </w14:solidFill>
          </w14:textFill>
        </w:rPr>
      </w:pPr>
      <w:bookmarkStart w:id="653" w:name="_Toc16401"/>
      <w:r>
        <w:rPr>
          <w:rFonts w:hint="eastAsia" w:ascii="宋体" w:hAnsi="宋体" w:cs="宋体"/>
          <w:color w:val="000000" w:themeColor="text1"/>
          <w:kern w:val="21"/>
          <w:szCs w:val="21"/>
          <w:highlight w:val="none"/>
          <w14:textFill>
            <w14:solidFill>
              <w14:schemeClr w14:val="tx1"/>
            </w14:solidFill>
          </w14:textFill>
        </w:rPr>
        <w:t>七、争议解决</w:t>
      </w:r>
      <w:bookmarkEnd w:id="653"/>
    </w:p>
    <w:p w14:paraId="4C533F24">
      <w:pPr>
        <w:spacing w:after="120" w:line="480" w:lineRule="exact"/>
        <w:ind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因本保函或本保函相关事项发生的纠纷，可由双方协商解决，协商不成的，按下列第</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种方式解决：</w:t>
      </w:r>
    </w:p>
    <w:p w14:paraId="018D4843">
      <w:pPr>
        <w:spacing w:line="360" w:lineRule="auto"/>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（1）向</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仲裁委员会申请仲裁；</w:t>
      </w:r>
    </w:p>
    <w:p w14:paraId="0CABC06C">
      <w:pPr>
        <w:spacing w:line="360" w:lineRule="auto"/>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（2）向</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人民法院起诉。</w:t>
      </w:r>
    </w:p>
    <w:p w14:paraId="5FA04818">
      <w:pPr>
        <w:spacing w:line="360" w:lineRule="auto"/>
        <w:ind w:firstLine="420" w:firstLineChars="200"/>
        <w:jc w:val="left"/>
        <w:outlineLvl w:val="0"/>
        <w:rPr>
          <w:rFonts w:ascii="宋体" w:hAnsi="宋体" w:cs="宋体"/>
          <w:color w:val="000000" w:themeColor="text1"/>
          <w:kern w:val="21"/>
          <w:szCs w:val="21"/>
          <w:highlight w:val="none"/>
          <w14:textFill>
            <w14:solidFill>
              <w14:schemeClr w14:val="tx1"/>
            </w14:solidFill>
          </w14:textFill>
        </w:rPr>
      </w:pPr>
      <w:bookmarkStart w:id="654" w:name="_Toc5692"/>
      <w:r>
        <w:rPr>
          <w:rFonts w:hint="eastAsia" w:ascii="宋体" w:hAnsi="宋体" w:cs="宋体"/>
          <w:color w:val="000000" w:themeColor="text1"/>
          <w:kern w:val="21"/>
          <w:szCs w:val="21"/>
          <w:highlight w:val="none"/>
          <w14:textFill>
            <w14:solidFill>
              <w14:schemeClr w14:val="tx1"/>
            </w14:solidFill>
          </w14:textFill>
        </w:rPr>
        <w:t>八、保函的生效</w:t>
      </w:r>
      <w:bookmarkEnd w:id="654"/>
    </w:p>
    <w:p w14:paraId="69E96392">
      <w:pPr>
        <w:spacing w:line="360" w:lineRule="auto"/>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本保函自我方法定代表人（或其授权代理人）签字并加盖公章之日起生效。</w:t>
      </w:r>
    </w:p>
    <w:p w14:paraId="709CE0C7">
      <w:pPr>
        <w:spacing w:line="360" w:lineRule="auto"/>
        <w:ind w:right="600"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担保人：</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（盖章）</w:t>
      </w:r>
    </w:p>
    <w:p w14:paraId="68056563">
      <w:pPr>
        <w:spacing w:line="360" w:lineRule="auto"/>
        <w:ind w:right="1200" w:firstLine="420" w:firstLineChars="200"/>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法定代表人或委托代理人：</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（签字）</w:t>
      </w:r>
    </w:p>
    <w:p w14:paraId="5E1BDFFC">
      <w:pPr>
        <w:spacing w:line="360" w:lineRule="auto"/>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地    址：</w:t>
      </w:r>
      <w:r>
        <w:rPr>
          <w:rFonts w:hint="eastAsia" w:ascii="宋体" w:hAnsi="宋体" w:cs="宋体"/>
          <w:color w:val="000000" w:themeColor="text1"/>
          <w:kern w:val="21"/>
          <w:szCs w:val="21"/>
          <w:highlight w:val="none"/>
          <w:u w:val="single"/>
          <w14:textFill>
            <w14:solidFill>
              <w14:schemeClr w14:val="tx1"/>
            </w14:solidFill>
          </w14:textFill>
        </w:rPr>
        <w:t xml:space="preserve">                                        </w:t>
      </w:r>
    </w:p>
    <w:p w14:paraId="49925768">
      <w:pPr>
        <w:spacing w:line="360" w:lineRule="auto"/>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邮政编码：</w:t>
      </w:r>
      <w:r>
        <w:rPr>
          <w:rFonts w:hint="eastAsia" w:ascii="宋体" w:hAnsi="宋体" w:cs="宋体"/>
          <w:color w:val="000000" w:themeColor="text1"/>
          <w:kern w:val="21"/>
          <w:szCs w:val="21"/>
          <w:highlight w:val="none"/>
          <w:u w:val="single"/>
          <w14:textFill>
            <w14:solidFill>
              <w14:schemeClr w14:val="tx1"/>
            </w14:solidFill>
          </w14:textFill>
        </w:rPr>
        <w:t xml:space="preserve">                                        </w:t>
      </w:r>
    </w:p>
    <w:p w14:paraId="228924CE">
      <w:pPr>
        <w:spacing w:line="360" w:lineRule="auto"/>
        <w:ind w:firstLine="420" w:firstLineChars="2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传    真：</w:t>
      </w:r>
      <w:r>
        <w:rPr>
          <w:rFonts w:hint="eastAsia" w:ascii="宋体" w:hAnsi="宋体" w:cs="宋体"/>
          <w:color w:val="000000" w:themeColor="text1"/>
          <w:kern w:val="21"/>
          <w:szCs w:val="21"/>
          <w:highlight w:val="none"/>
          <w:u w:val="single"/>
          <w14:textFill>
            <w14:solidFill>
              <w14:schemeClr w14:val="tx1"/>
            </w14:solidFill>
          </w14:textFill>
        </w:rPr>
        <w:t xml:space="preserve">                                        </w:t>
      </w:r>
    </w:p>
    <w:p w14:paraId="762703A4">
      <w:pPr>
        <w:spacing w:line="360" w:lineRule="auto"/>
        <w:ind w:right="150" w:firstLine="840" w:firstLineChars="400"/>
        <w:jc w:val="lef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 xml:space="preserve">       </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年</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月</w:t>
      </w:r>
      <w:r>
        <w:rPr>
          <w:rFonts w:hint="eastAsia" w:ascii="宋体" w:hAnsi="宋体" w:cs="宋体"/>
          <w:color w:val="000000" w:themeColor="text1"/>
          <w:kern w:val="21"/>
          <w:szCs w:val="21"/>
          <w:highlight w:val="none"/>
          <w:u w:val="single"/>
          <w14:textFill>
            <w14:solidFill>
              <w14:schemeClr w14:val="tx1"/>
            </w14:solidFill>
          </w14:textFill>
        </w:rPr>
        <w:t xml:space="preserve">      </w:t>
      </w:r>
      <w:r>
        <w:rPr>
          <w:rFonts w:hint="eastAsia" w:ascii="宋体" w:hAnsi="宋体" w:cs="宋体"/>
          <w:color w:val="000000" w:themeColor="text1"/>
          <w:kern w:val="21"/>
          <w:szCs w:val="21"/>
          <w:highlight w:val="none"/>
          <w14:textFill>
            <w14:solidFill>
              <w14:schemeClr w14:val="tx1"/>
            </w14:solidFill>
          </w14:textFill>
        </w:rPr>
        <w:t>日</w:t>
      </w:r>
    </w:p>
    <w:p w14:paraId="0C7A1D11">
      <w:pPr>
        <w:spacing w:line="420" w:lineRule="exact"/>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br w:type="page"/>
      </w:r>
      <w:r>
        <w:rPr>
          <w:rFonts w:hint="eastAsia" w:ascii="宋体" w:hAnsi="宋体" w:cs="宋体"/>
          <w:color w:val="000000" w:themeColor="text1"/>
          <w:kern w:val="21"/>
          <w:szCs w:val="21"/>
          <w:highlight w:val="none"/>
          <w14:textFill>
            <w14:solidFill>
              <w14:schemeClr w14:val="tx1"/>
            </w14:solidFill>
          </w14:textFill>
        </w:rPr>
        <w:t>附件11：</w:t>
      </w:r>
    </w:p>
    <w:p w14:paraId="170263BD">
      <w:pPr>
        <w:spacing w:before="156" w:beforeLines="50" w:after="156" w:afterLines="50" w:line="340" w:lineRule="exact"/>
        <w:jc w:val="center"/>
        <w:outlineLvl w:val="0"/>
        <w:rPr>
          <w:rFonts w:ascii="宋体" w:hAnsi="宋体" w:cs="宋体"/>
          <w:color w:val="000000" w:themeColor="text1"/>
          <w:kern w:val="21"/>
          <w:szCs w:val="21"/>
          <w:highlight w:val="none"/>
          <w14:textFill>
            <w14:solidFill>
              <w14:schemeClr w14:val="tx1"/>
            </w14:solidFill>
          </w14:textFill>
        </w:rPr>
      </w:pPr>
      <w:bookmarkStart w:id="655" w:name="_Toc4293"/>
      <w:r>
        <w:rPr>
          <w:rFonts w:hint="eastAsia" w:ascii="宋体" w:hAnsi="宋体" w:cs="宋体"/>
          <w:color w:val="000000" w:themeColor="text1"/>
          <w:kern w:val="21"/>
          <w:szCs w:val="21"/>
          <w:highlight w:val="none"/>
          <w14:textFill>
            <w14:solidFill>
              <w14:schemeClr w14:val="tx1"/>
            </w14:solidFill>
          </w14:textFill>
        </w:rPr>
        <w:t>11-1：材料暂估价表</w:t>
      </w:r>
      <w:bookmarkEnd w:id="655"/>
    </w:p>
    <w:tbl>
      <w:tblPr>
        <w:tblStyle w:val="7"/>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723613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14:paraId="1F28F6D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序号</w:t>
            </w:r>
          </w:p>
        </w:tc>
        <w:tc>
          <w:tcPr>
            <w:tcW w:w="1984" w:type="dxa"/>
            <w:tcBorders>
              <w:top w:val="single" w:color="auto" w:sz="12" w:space="0"/>
              <w:bottom w:val="double" w:color="auto" w:sz="6" w:space="0"/>
            </w:tcBorders>
          </w:tcPr>
          <w:p w14:paraId="295B00F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名称</w:t>
            </w:r>
          </w:p>
        </w:tc>
        <w:tc>
          <w:tcPr>
            <w:tcW w:w="851" w:type="dxa"/>
            <w:tcBorders>
              <w:top w:val="single" w:color="auto" w:sz="12" w:space="0"/>
              <w:bottom w:val="double" w:color="auto" w:sz="6" w:space="0"/>
            </w:tcBorders>
          </w:tcPr>
          <w:p w14:paraId="63C8523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单位</w:t>
            </w:r>
          </w:p>
        </w:tc>
        <w:tc>
          <w:tcPr>
            <w:tcW w:w="774" w:type="dxa"/>
            <w:tcBorders>
              <w:top w:val="single" w:color="auto" w:sz="12" w:space="0"/>
              <w:bottom w:val="double" w:color="auto" w:sz="6" w:space="0"/>
            </w:tcBorders>
          </w:tcPr>
          <w:p w14:paraId="081C43E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数量</w:t>
            </w:r>
          </w:p>
        </w:tc>
        <w:tc>
          <w:tcPr>
            <w:tcW w:w="1352" w:type="dxa"/>
            <w:tcBorders>
              <w:top w:val="single" w:color="auto" w:sz="12" w:space="0"/>
              <w:bottom w:val="double" w:color="auto" w:sz="6" w:space="0"/>
            </w:tcBorders>
          </w:tcPr>
          <w:p w14:paraId="5885465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单价（元）</w:t>
            </w:r>
          </w:p>
        </w:tc>
        <w:tc>
          <w:tcPr>
            <w:tcW w:w="1418" w:type="dxa"/>
            <w:tcBorders>
              <w:top w:val="single" w:color="auto" w:sz="12" w:space="0"/>
              <w:bottom w:val="double" w:color="auto" w:sz="6" w:space="0"/>
            </w:tcBorders>
          </w:tcPr>
          <w:p w14:paraId="5C8DFF2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合价（元）</w:t>
            </w:r>
          </w:p>
        </w:tc>
        <w:tc>
          <w:tcPr>
            <w:tcW w:w="1701" w:type="dxa"/>
            <w:tcBorders>
              <w:top w:val="single" w:color="auto" w:sz="12" w:space="0"/>
              <w:bottom w:val="double" w:color="auto" w:sz="6" w:space="0"/>
            </w:tcBorders>
          </w:tcPr>
          <w:p w14:paraId="5D2AA79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备注</w:t>
            </w:r>
          </w:p>
        </w:tc>
      </w:tr>
      <w:tr w14:paraId="0DBB12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14:paraId="448D153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Borders>
              <w:top w:val="double" w:color="auto" w:sz="6" w:space="0"/>
              <w:bottom w:val="single" w:color="auto" w:sz="6" w:space="0"/>
            </w:tcBorders>
          </w:tcPr>
          <w:p w14:paraId="3E8F1B3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Borders>
              <w:top w:val="double" w:color="auto" w:sz="6" w:space="0"/>
              <w:bottom w:val="single" w:color="auto" w:sz="6" w:space="0"/>
            </w:tcBorders>
          </w:tcPr>
          <w:p w14:paraId="40A4942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Borders>
              <w:top w:val="double" w:color="auto" w:sz="6" w:space="0"/>
              <w:bottom w:val="single" w:color="auto" w:sz="6" w:space="0"/>
            </w:tcBorders>
          </w:tcPr>
          <w:p w14:paraId="0B5C24D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Borders>
              <w:top w:val="double" w:color="auto" w:sz="6" w:space="0"/>
              <w:bottom w:val="single" w:color="auto" w:sz="6" w:space="0"/>
            </w:tcBorders>
          </w:tcPr>
          <w:p w14:paraId="3698434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Borders>
              <w:top w:val="double" w:color="auto" w:sz="6" w:space="0"/>
              <w:bottom w:val="single" w:color="auto" w:sz="6" w:space="0"/>
            </w:tcBorders>
          </w:tcPr>
          <w:p w14:paraId="1C95E12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Borders>
              <w:top w:val="double" w:color="auto" w:sz="6" w:space="0"/>
              <w:bottom w:val="single" w:color="auto" w:sz="6" w:space="0"/>
            </w:tcBorders>
          </w:tcPr>
          <w:p w14:paraId="40361D3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7D5AD9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14:paraId="32BAE34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Borders>
              <w:top w:val="nil"/>
            </w:tcBorders>
          </w:tcPr>
          <w:p w14:paraId="25F7584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Borders>
              <w:top w:val="nil"/>
            </w:tcBorders>
          </w:tcPr>
          <w:p w14:paraId="0C84A80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Borders>
              <w:top w:val="nil"/>
            </w:tcBorders>
          </w:tcPr>
          <w:p w14:paraId="578C110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Borders>
              <w:top w:val="nil"/>
            </w:tcBorders>
          </w:tcPr>
          <w:p w14:paraId="4FB66A4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Borders>
              <w:top w:val="nil"/>
            </w:tcBorders>
          </w:tcPr>
          <w:p w14:paraId="37334BC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Borders>
              <w:top w:val="nil"/>
            </w:tcBorders>
          </w:tcPr>
          <w:p w14:paraId="65F6AFB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26618F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085A1C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233D077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6C33E97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66AC062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30F44CB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6A874FF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2D7275E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3465C1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3D0E1B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1B614B5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0B8B7FD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3F3DDAB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5992954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1657E67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5B35E2F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328088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AF5181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6A6BF5E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5911132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071A3D1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31B1C48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5595E3D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670629D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16986F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589DFF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171F16D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6446A94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25B184C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0C5F211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79E040B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414D526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08EB2F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5509ED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469E1C5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7093A42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5ED4A1A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0C474DE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444C635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07773EE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624919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E0B590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4BA5F6C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23CEF55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6CB9259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2DB01AA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6EA3158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1BC769F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78C5D5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31E2CB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0E186F7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17EF105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0186969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457BC9E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508B64A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43C7669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388E60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55BE87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707B815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32F51EF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4EFCFB7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5CB2F16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458F5CD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4721B45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08DCED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870844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5FC48EB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359D5D2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36E36F9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641CBCD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5C15B04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64E2841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0E08A1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5B21EE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5AF4D4D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3AEB3DE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346439C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5F96416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4DDC5C5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1CF0CB1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39E3E7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1D14F9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14FA2A8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1B1680D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4D27077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47BF556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1FE611A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0D47279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764CA3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40FC3E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219592A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13DDDCA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145B3CB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3411EBE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6AF2C5C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55F1912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76A069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B9E337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42472ED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3407EF8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71FC833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68B18B4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084EB5A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6E906F0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0B731E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5649B3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0AA94C4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3F07B61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13C5160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6986146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635C6E4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7E7A42E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02E73A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FE054C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3265959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01036EF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22395EB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65E9E52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0116A21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28EB12C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7C602C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D3FE01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395C50A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3A2282A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7AD0A1C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43F8346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7B2E7BA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7966743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50AD49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3E9737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7C0C723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0EC972D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2CA290F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0999F04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239A8F5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7873D2B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11A7A2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6E321E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28BF031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5E45501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5B11954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20767EC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3844F6C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53AF517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36BC71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C18B8E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6C370B6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62D5485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11EC611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749FD6F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50CE4ED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09FBE3D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bl>
    <w:p w14:paraId="539B030C">
      <w:pPr>
        <w:spacing w:before="156" w:beforeLines="50" w:after="156" w:afterLines="50" w:line="340" w:lineRule="exact"/>
        <w:rPr>
          <w:rFonts w:ascii="宋体" w:hAnsi="宋体" w:cs="宋体"/>
          <w:color w:val="000000" w:themeColor="text1"/>
          <w:kern w:val="21"/>
          <w:szCs w:val="21"/>
          <w:highlight w:val="none"/>
          <w14:textFill>
            <w14:solidFill>
              <w14:schemeClr w14:val="tx1"/>
            </w14:solidFill>
          </w14:textFill>
        </w:rPr>
      </w:pPr>
    </w:p>
    <w:p w14:paraId="0F95C31B">
      <w:pPr>
        <w:spacing w:before="156" w:beforeLines="50" w:after="156" w:afterLines="50" w:line="340" w:lineRule="exact"/>
        <w:jc w:val="center"/>
        <w:rPr>
          <w:rFonts w:ascii="宋体" w:hAnsi="宋体" w:cs="宋体"/>
          <w:color w:val="000000" w:themeColor="text1"/>
          <w:kern w:val="21"/>
          <w:szCs w:val="21"/>
          <w:highlight w:val="none"/>
          <w14:textFill>
            <w14:solidFill>
              <w14:schemeClr w14:val="tx1"/>
            </w14:solidFill>
          </w14:textFill>
        </w:rPr>
      </w:pPr>
    </w:p>
    <w:p w14:paraId="35EE40C5">
      <w:pPr>
        <w:spacing w:before="156" w:beforeLines="50" w:after="156" w:afterLines="50" w:line="340" w:lineRule="exact"/>
        <w:jc w:val="center"/>
        <w:rPr>
          <w:rFonts w:ascii="宋体" w:hAnsi="宋体" w:cs="宋体"/>
          <w:color w:val="000000" w:themeColor="text1"/>
          <w:kern w:val="21"/>
          <w:szCs w:val="21"/>
          <w:highlight w:val="none"/>
          <w14:textFill>
            <w14:solidFill>
              <w14:schemeClr w14:val="tx1"/>
            </w14:solidFill>
          </w14:textFill>
        </w:rPr>
      </w:pPr>
    </w:p>
    <w:p w14:paraId="312C7069">
      <w:pPr>
        <w:spacing w:before="156" w:beforeLines="50" w:after="156" w:afterLines="50" w:line="340" w:lineRule="exact"/>
        <w:jc w:val="center"/>
        <w:rPr>
          <w:rFonts w:ascii="宋体" w:hAnsi="宋体" w:cs="宋体"/>
          <w:color w:val="000000" w:themeColor="text1"/>
          <w:kern w:val="21"/>
          <w:szCs w:val="21"/>
          <w:highlight w:val="none"/>
          <w14:textFill>
            <w14:solidFill>
              <w14:schemeClr w14:val="tx1"/>
            </w14:solidFill>
          </w14:textFill>
        </w:rPr>
        <w:sectPr>
          <w:pgSz w:w="11906" w:h="16838"/>
          <w:pgMar w:top="1440" w:right="1800" w:bottom="1440" w:left="1800" w:header="851" w:footer="992" w:gutter="0"/>
          <w:cols w:space="425" w:num="1"/>
          <w:docGrid w:type="lines" w:linePitch="312" w:charSpace="0"/>
        </w:sectPr>
      </w:pPr>
    </w:p>
    <w:p w14:paraId="3ED98755">
      <w:pPr>
        <w:spacing w:before="156" w:beforeLines="50" w:after="156" w:afterLines="50" w:line="340" w:lineRule="exact"/>
        <w:jc w:val="center"/>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11-2：工程设备暂估价表</w:t>
      </w:r>
    </w:p>
    <w:tbl>
      <w:tblPr>
        <w:tblStyle w:val="7"/>
        <w:tblW w:w="907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204F3A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single" w:color="auto" w:sz="12" w:space="0"/>
              <w:bottom w:val="double" w:color="auto" w:sz="6" w:space="0"/>
            </w:tcBorders>
          </w:tcPr>
          <w:p w14:paraId="4CDBB98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序号</w:t>
            </w:r>
          </w:p>
        </w:tc>
        <w:tc>
          <w:tcPr>
            <w:tcW w:w="1984" w:type="dxa"/>
            <w:tcBorders>
              <w:top w:val="single" w:color="auto" w:sz="12" w:space="0"/>
              <w:bottom w:val="double" w:color="auto" w:sz="6" w:space="0"/>
            </w:tcBorders>
          </w:tcPr>
          <w:p w14:paraId="27543E4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名称</w:t>
            </w:r>
          </w:p>
        </w:tc>
        <w:tc>
          <w:tcPr>
            <w:tcW w:w="851" w:type="dxa"/>
            <w:tcBorders>
              <w:top w:val="single" w:color="auto" w:sz="12" w:space="0"/>
              <w:bottom w:val="double" w:color="auto" w:sz="6" w:space="0"/>
            </w:tcBorders>
          </w:tcPr>
          <w:p w14:paraId="636C140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单位</w:t>
            </w:r>
          </w:p>
        </w:tc>
        <w:tc>
          <w:tcPr>
            <w:tcW w:w="774" w:type="dxa"/>
            <w:tcBorders>
              <w:top w:val="single" w:color="auto" w:sz="12" w:space="0"/>
              <w:bottom w:val="double" w:color="auto" w:sz="6" w:space="0"/>
            </w:tcBorders>
          </w:tcPr>
          <w:p w14:paraId="5268537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数量</w:t>
            </w:r>
          </w:p>
        </w:tc>
        <w:tc>
          <w:tcPr>
            <w:tcW w:w="1352" w:type="dxa"/>
            <w:tcBorders>
              <w:top w:val="single" w:color="auto" w:sz="12" w:space="0"/>
              <w:bottom w:val="double" w:color="auto" w:sz="6" w:space="0"/>
            </w:tcBorders>
          </w:tcPr>
          <w:p w14:paraId="3FD1105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单价（元）</w:t>
            </w:r>
          </w:p>
        </w:tc>
        <w:tc>
          <w:tcPr>
            <w:tcW w:w="1418" w:type="dxa"/>
            <w:tcBorders>
              <w:top w:val="single" w:color="auto" w:sz="12" w:space="0"/>
              <w:bottom w:val="double" w:color="auto" w:sz="6" w:space="0"/>
            </w:tcBorders>
          </w:tcPr>
          <w:p w14:paraId="47AF0A5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合价（元）</w:t>
            </w:r>
          </w:p>
        </w:tc>
        <w:tc>
          <w:tcPr>
            <w:tcW w:w="1701" w:type="dxa"/>
            <w:tcBorders>
              <w:top w:val="single" w:color="auto" w:sz="12" w:space="0"/>
              <w:bottom w:val="double" w:color="auto" w:sz="6" w:space="0"/>
            </w:tcBorders>
          </w:tcPr>
          <w:p w14:paraId="03C85C8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t>备注</w:t>
            </w:r>
          </w:p>
        </w:tc>
      </w:tr>
      <w:tr w14:paraId="0A410C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double" w:color="auto" w:sz="6" w:space="0"/>
              <w:bottom w:val="single" w:color="auto" w:sz="6" w:space="0"/>
            </w:tcBorders>
          </w:tcPr>
          <w:p w14:paraId="719D9D4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Borders>
              <w:top w:val="double" w:color="auto" w:sz="6" w:space="0"/>
              <w:bottom w:val="single" w:color="auto" w:sz="6" w:space="0"/>
            </w:tcBorders>
          </w:tcPr>
          <w:p w14:paraId="2EF151B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Borders>
              <w:top w:val="double" w:color="auto" w:sz="6" w:space="0"/>
              <w:bottom w:val="single" w:color="auto" w:sz="6" w:space="0"/>
            </w:tcBorders>
          </w:tcPr>
          <w:p w14:paraId="2850267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Borders>
              <w:top w:val="double" w:color="auto" w:sz="6" w:space="0"/>
              <w:bottom w:val="single" w:color="auto" w:sz="6" w:space="0"/>
            </w:tcBorders>
          </w:tcPr>
          <w:p w14:paraId="6D45BF4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Borders>
              <w:top w:val="double" w:color="auto" w:sz="6" w:space="0"/>
              <w:bottom w:val="single" w:color="auto" w:sz="6" w:space="0"/>
            </w:tcBorders>
          </w:tcPr>
          <w:p w14:paraId="2BE760C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Borders>
              <w:top w:val="double" w:color="auto" w:sz="6" w:space="0"/>
              <w:bottom w:val="single" w:color="auto" w:sz="6" w:space="0"/>
            </w:tcBorders>
          </w:tcPr>
          <w:p w14:paraId="1D99258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Borders>
              <w:top w:val="double" w:color="auto" w:sz="6" w:space="0"/>
              <w:bottom w:val="single" w:color="auto" w:sz="6" w:space="0"/>
            </w:tcBorders>
          </w:tcPr>
          <w:p w14:paraId="362A328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034811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nil"/>
            </w:tcBorders>
          </w:tcPr>
          <w:p w14:paraId="5ECD940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Borders>
              <w:top w:val="nil"/>
            </w:tcBorders>
          </w:tcPr>
          <w:p w14:paraId="07E8FF7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Borders>
              <w:top w:val="nil"/>
            </w:tcBorders>
          </w:tcPr>
          <w:p w14:paraId="0FD9071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Borders>
              <w:top w:val="nil"/>
            </w:tcBorders>
          </w:tcPr>
          <w:p w14:paraId="0161C92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Borders>
              <w:top w:val="nil"/>
            </w:tcBorders>
          </w:tcPr>
          <w:p w14:paraId="450F4B5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Borders>
              <w:top w:val="nil"/>
            </w:tcBorders>
          </w:tcPr>
          <w:p w14:paraId="4A90E52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Borders>
              <w:top w:val="nil"/>
            </w:tcBorders>
          </w:tcPr>
          <w:p w14:paraId="1B58C54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3C1888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2265D3E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77E77CB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5F6899E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7B83267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0509F7A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26AA81C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0A6376A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4A33C4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5CE7B16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614750F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3DC8C7E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4E3984C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007A87D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762B050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25DF8FC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4280CA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421796A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168A2AE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093076C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03B2B51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6CA12DE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37DA440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7CAB555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4FCF8A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08B81C0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1E7506C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066CB2E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77AAE0A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27C3995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5E822CC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149060F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4854A8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3FB51ED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5A55A64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7BD0F62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05587CB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06ED529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26D8129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74BC016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2F88FF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772D072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08C3459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54C4135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58A785A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3266E20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2569372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14D6EC7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52B5DC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259716C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1B44D52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02607DC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3B89A15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08C9C95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54AEDE5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5143E59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3965EE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33B840B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6DCF27A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1CE8FDD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252EDFB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7B9500F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11C8AAF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398ACE2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435E58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7215670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4007B6C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6473407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4759980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387D87D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19A230D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2A72D42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35BD93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3A7352F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7E87587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670E15D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0FDAF27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00FC98B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1B34FC9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249908E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02412C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6035DB4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58C26A6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72F9877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3FD425B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06E74FF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5A0ADCA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395FAD3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53ABF9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653FF91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154330D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14DCDC9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0A6B8E0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45F61E1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7F4BFE5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7AD2694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1DE425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3F6E53D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765053F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70B9AE9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292C9CE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7287815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6399366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3DA9FAC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5BD3A9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3C6B91D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04E298B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1273A75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7248FF7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64AE06D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773C1C4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1E950AD3">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4CFC80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0E12682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0DD5D42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5A9E419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6D42E60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43CFE35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5C26D58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262872C1">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5959E3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27A2A1F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166C464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0E244D1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367861A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7A3E4F7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41508E7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1B4542F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68D6EE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01714DA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3F2A371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24E3E6F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374A2D3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4F1FF23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687EDF8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004F943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4F9C29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324D25C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1BE8E00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70F8373F">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57590A8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4EE95C1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5BB1993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7A6B4118">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330D09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27EDADD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5D7054E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593B9254">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35204B6E">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3F99D5F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1FA1360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401D64E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29FC8C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0212266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0BEB516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19A3216C">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07F8118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05EAC01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25B67D7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58D13E7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3202F9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446845D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5633914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4DC85B99">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717F2A0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16BDFFC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2939397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7194943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1C946B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37F956F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42DACF7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55E5BDB5">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2FF4F88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3BD7F9D6">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58B49152">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36648EC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r w14:paraId="37E972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Pr>
          <w:p w14:paraId="561CFC3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984" w:type="dxa"/>
          </w:tcPr>
          <w:p w14:paraId="086E1640">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851" w:type="dxa"/>
          </w:tcPr>
          <w:p w14:paraId="7A893E1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774" w:type="dxa"/>
          </w:tcPr>
          <w:p w14:paraId="002E0A4D">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352" w:type="dxa"/>
          </w:tcPr>
          <w:p w14:paraId="2B06849A">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418" w:type="dxa"/>
          </w:tcPr>
          <w:p w14:paraId="0BAE5867">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c>
          <w:tcPr>
            <w:tcW w:w="1701" w:type="dxa"/>
          </w:tcPr>
          <w:p w14:paraId="05508D9B">
            <w:pPr>
              <w:pStyle w:val="2"/>
              <w:keepNext/>
              <w:spacing w:line="340" w:lineRule="exact"/>
              <w:ind w:left="63" w:right="63"/>
              <w:rPr>
                <w:rFonts w:ascii="宋体" w:hAnsi="宋体" w:cs="宋体"/>
                <w:color w:val="000000" w:themeColor="text1"/>
                <w:kern w:val="21"/>
                <w:szCs w:val="21"/>
                <w:highlight w:val="none"/>
                <w14:textFill>
                  <w14:solidFill>
                    <w14:schemeClr w14:val="tx1"/>
                  </w14:solidFill>
                </w14:textFill>
              </w:rPr>
            </w:pPr>
          </w:p>
        </w:tc>
      </w:tr>
    </w:tbl>
    <w:p w14:paraId="158BFDD0">
      <w:pPr>
        <w:spacing w:line="340" w:lineRule="exact"/>
        <w:rPr>
          <w:rFonts w:ascii="宋体" w:hAnsi="宋体" w:cs="宋体"/>
          <w:color w:val="000000" w:themeColor="text1"/>
          <w:kern w:val="21"/>
          <w:szCs w:val="21"/>
          <w:highlight w:val="none"/>
          <w14:textFill>
            <w14:solidFill>
              <w14:schemeClr w14:val="tx1"/>
            </w14:solidFill>
          </w14:textFill>
        </w:rPr>
      </w:pPr>
    </w:p>
    <w:p w14:paraId="108A1CD8">
      <w:pPr>
        <w:spacing w:before="156" w:beforeLines="50" w:after="156" w:afterLines="50" w:line="340" w:lineRule="exact"/>
        <w:jc w:val="center"/>
        <w:rPr>
          <w:rFonts w:ascii="宋体" w:hAnsi="宋体" w:cs="宋体"/>
          <w:color w:val="000000" w:themeColor="text1"/>
          <w:kern w:val="21"/>
          <w:szCs w:val="21"/>
          <w:highlight w:val="none"/>
          <w14:textFill>
            <w14:solidFill>
              <w14:schemeClr w14:val="tx1"/>
            </w14:solidFill>
          </w14:textFill>
        </w:rPr>
      </w:pPr>
      <w:r>
        <w:rPr>
          <w:rFonts w:hint="eastAsia" w:ascii="宋体" w:hAnsi="宋体" w:cs="宋体"/>
          <w:color w:val="000000" w:themeColor="text1"/>
          <w:kern w:val="21"/>
          <w:szCs w:val="21"/>
          <w:highlight w:val="none"/>
          <w14:textFill>
            <w14:solidFill>
              <w14:schemeClr w14:val="tx1"/>
            </w14:solidFill>
          </w14:textFill>
        </w:rPr>
        <w:br w:type="page"/>
      </w:r>
      <w:r>
        <w:rPr>
          <w:rFonts w:hint="eastAsia" w:ascii="宋体" w:hAnsi="宋体" w:cs="宋体"/>
          <w:color w:val="000000" w:themeColor="text1"/>
          <w:kern w:val="21"/>
          <w:szCs w:val="21"/>
          <w:highlight w:val="none"/>
          <w14:textFill>
            <w14:solidFill>
              <w14:schemeClr w14:val="tx1"/>
            </w14:solidFill>
          </w14:textFill>
        </w:rPr>
        <w:t>11-3：专业工程暂估价表</w:t>
      </w:r>
    </w:p>
    <w:tbl>
      <w:tblPr>
        <w:tblStyle w:val="7"/>
        <w:tblW w:w="879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6"/>
        <w:gridCol w:w="1980"/>
        <w:gridCol w:w="4669"/>
        <w:gridCol w:w="1272"/>
      </w:tblGrid>
      <w:tr w14:paraId="76D614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95" w:hRule="atLeast"/>
          <w:jc w:val="center"/>
        </w:trPr>
        <w:tc>
          <w:tcPr>
            <w:tcW w:w="876" w:type="dxa"/>
            <w:tcBorders>
              <w:top w:val="single" w:color="auto" w:sz="12" w:space="0"/>
              <w:bottom w:val="double" w:color="auto" w:sz="6" w:space="0"/>
            </w:tcBorders>
          </w:tcPr>
          <w:p w14:paraId="65ABF481">
            <w:pP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序号</w:t>
            </w:r>
          </w:p>
        </w:tc>
        <w:tc>
          <w:tcPr>
            <w:tcW w:w="1980" w:type="dxa"/>
            <w:tcBorders>
              <w:top w:val="single" w:color="auto" w:sz="12" w:space="0"/>
              <w:bottom w:val="double" w:color="auto" w:sz="6" w:space="0"/>
            </w:tcBorders>
          </w:tcPr>
          <w:p w14:paraId="3C7050DB">
            <w:pP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专业工程名称</w:t>
            </w:r>
          </w:p>
        </w:tc>
        <w:tc>
          <w:tcPr>
            <w:tcW w:w="4669" w:type="dxa"/>
            <w:tcBorders>
              <w:top w:val="single" w:color="auto" w:sz="12" w:space="0"/>
              <w:bottom w:val="double" w:color="auto" w:sz="6" w:space="0"/>
            </w:tcBorders>
          </w:tcPr>
          <w:p w14:paraId="58209854">
            <w:pP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工程内容</w:t>
            </w:r>
          </w:p>
        </w:tc>
        <w:tc>
          <w:tcPr>
            <w:tcW w:w="1272" w:type="dxa"/>
            <w:tcBorders>
              <w:top w:val="single" w:color="auto" w:sz="12" w:space="0"/>
              <w:bottom w:val="double" w:color="auto" w:sz="6" w:space="0"/>
            </w:tcBorders>
          </w:tcPr>
          <w:p w14:paraId="00BF72B2">
            <w:pP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金额</w:t>
            </w:r>
          </w:p>
        </w:tc>
      </w:tr>
      <w:tr w14:paraId="04FF59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5" w:hRule="atLeast"/>
          <w:jc w:val="center"/>
        </w:trPr>
        <w:tc>
          <w:tcPr>
            <w:tcW w:w="876" w:type="dxa"/>
            <w:tcBorders>
              <w:top w:val="double" w:color="auto" w:sz="6" w:space="0"/>
              <w:bottom w:val="single" w:color="auto" w:sz="6" w:space="0"/>
            </w:tcBorders>
          </w:tcPr>
          <w:p w14:paraId="4DDA207E">
            <w:pPr>
              <w:rPr>
                <w:rFonts w:ascii="宋体" w:hAnsi="宋体" w:cs="宋体"/>
                <w:color w:val="000000" w:themeColor="text1"/>
                <w:szCs w:val="21"/>
                <w:highlight w:val="none"/>
                <w14:textFill>
                  <w14:solidFill>
                    <w14:schemeClr w14:val="tx1"/>
                  </w14:solidFill>
                </w14:textFill>
              </w:rPr>
            </w:pPr>
          </w:p>
        </w:tc>
        <w:tc>
          <w:tcPr>
            <w:tcW w:w="1980" w:type="dxa"/>
            <w:tcBorders>
              <w:top w:val="double" w:color="auto" w:sz="6" w:space="0"/>
              <w:bottom w:val="single" w:color="auto" w:sz="6" w:space="0"/>
            </w:tcBorders>
          </w:tcPr>
          <w:p w14:paraId="55EDFF4B">
            <w:pPr>
              <w:rPr>
                <w:rFonts w:ascii="宋体" w:hAnsi="宋体" w:cs="宋体"/>
                <w:color w:val="000000" w:themeColor="text1"/>
                <w:szCs w:val="21"/>
                <w:highlight w:val="none"/>
                <w14:textFill>
                  <w14:solidFill>
                    <w14:schemeClr w14:val="tx1"/>
                  </w14:solidFill>
                </w14:textFill>
              </w:rPr>
            </w:pPr>
          </w:p>
        </w:tc>
        <w:tc>
          <w:tcPr>
            <w:tcW w:w="4669" w:type="dxa"/>
            <w:tcBorders>
              <w:top w:val="double" w:color="auto" w:sz="6" w:space="0"/>
              <w:bottom w:val="single" w:color="auto" w:sz="6" w:space="0"/>
            </w:tcBorders>
          </w:tcPr>
          <w:p w14:paraId="5F0B627A">
            <w:pPr>
              <w:rPr>
                <w:rFonts w:ascii="宋体" w:hAnsi="宋体" w:cs="宋体"/>
                <w:color w:val="000000" w:themeColor="text1"/>
                <w:szCs w:val="21"/>
                <w:highlight w:val="none"/>
                <w14:textFill>
                  <w14:solidFill>
                    <w14:schemeClr w14:val="tx1"/>
                  </w14:solidFill>
                </w14:textFill>
              </w:rPr>
            </w:pPr>
          </w:p>
        </w:tc>
        <w:tc>
          <w:tcPr>
            <w:tcW w:w="1272" w:type="dxa"/>
            <w:tcBorders>
              <w:top w:val="double" w:color="auto" w:sz="6" w:space="0"/>
              <w:bottom w:val="single" w:color="auto" w:sz="6" w:space="0"/>
            </w:tcBorders>
          </w:tcPr>
          <w:p w14:paraId="5985FA4D">
            <w:pPr>
              <w:rPr>
                <w:rFonts w:ascii="宋体" w:hAnsi="宋体" w:cs="宋体"/>
                <w:color w:val="000000" w:themeColor="text1"/>
                <w:szCs w:val="21"/>
                <w:highlight w:val="none"/>
                <w14:textFill>
                  <w14:solidFill>
                    <w14:schemeClr w14:val="tx1"/>
                  </w14:solidFill>
                </w14:textFill>
              </w:rPr>
            </w:pPr>
          </w:p>
        </w:tc>
      </w:tr>
      <w:tr w14:paraId="27A6B0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Borders>
              <w:top w:val="nil"/>
            </w:tcBorders>
          </w:tcPr>
          <w:p w14:paraId="0E8D3861">
            <w:pPr>
              <w:rPr>
                <w:rFonts w:ascii="宋体" w:hAnsi="宋体" w:cs="宋体"/>
                <w:color w:val="000000" w:themeColor="text1"/>
                <w:szCs w:val="21"/>
                <w:highlight w:val="none"/>
                <w14:textFill>
                  <w14:solidFill>
                    <w14:schemeClr w14:val="tx1"/>
                  </w14:solidFill>
                </w14:textFill>
              </w:rPr>
            </w:pPr>
          </w:p>
        </w:tc>
        <w:tc>
          <w:tcPr>
            <w:tcW w:w="1980" w:type="dxa"/>
            <w:tcBorders>
              <w:top w:val="nil"/>
            </w:tcBorders>
          </w:tcPr>
          <w:p w14:paraId="7279791F">
            <w:pPr>
              <w:rPr>
                <w:rFonts w:ascii="宋体" w:hAnsi="宋体" w:cs="宋体"/>
                <w:color w:val="000000" w:themeColor="text1"/>
                <w:szCs w:val="21"/>
                <w:highlight w:val="none"/>
                <w14:textFill>
                  <w14:solidFill>
                    <w14:schemeClr w14:val="tx1"/>
                  </w14:solidFill>
                </w14:textFill>
              </w:rPr>
            </w:pPr>
          </w:p>
        </w:tc>
        <w:tc>
          <w:tcPr>
            <w:tcW w:w="4669" w:type="dxa"/>
            <w:tcBorders>
              <w:top w:val="nil"/>
            </w:tcBorders>
          </w:tcPr>
          <w:p w14:paraId="4418007E">
            <w:pPr>
              <w:rPr>
                <w:rFonts w:ascii="宋体" w:hAnsi="宋体" w:cs="宋体"/>
                <w:color w:val="000000" w:themeColor="text1"/>
                <w:szCs w:val="21"/>
                <w:highlight w:val="none"/>
                <w14:textFill>
                  <w14:solidFill>
                    <w14:schemeClr w14:val="tx1"/>
                  </w14:solidFill>
                </w14:textFill>
              </w:rPr>
            </w:pPr>
          </w:p>
        </w:tc>
        <w:tc>
          <w:tcPr>
            <w:tcW w:w="1272" w:type="dxa"/>
            <w:tcBorders>
              <w:top w:val="nil"/>
            </w:tcBorders>
          </w:tcPr>
          <w:p w14:paraId="431819AD">
            <w:pPr>
              <w:rPr>
                <w:rFonts w:ascii="宋体" w:hAnsi="宋体" w:cs="宋体"/>
                <w:color w:val="000000" w:themeColor="text1"/>
                <w:szCs w:val="21"/>
                <w:highlight w:val="none"/>
                <w14:textFill>
                  <w14:solidFill>
                    <w14:schemeClr w14:val="tx1"/>
                  </w14:solidFill>
                </w14:textFill>
              </w:rPr>
            </w:pPr>
          </w:p>
        </w:tc>
      </w:tr>
      <w:tr w14:paraId="46AAA9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Borders>
              <w:top w:val="nil"/>
            </w:tcBorders>
          </w:tcPr>
          <w:p w14:paraId="262F4FC5">
            <w:pPr>
              <w:rPr>
                <w:rFonts w:ascii="宋体" w:hAnsi="宋体" w:cs="宋体"/>
                <w:color w:val="000000" w:themeColor="text1"/>
                <w:szCs w:val="21"/>
                <w:highlight w:val="none"/>
                <w14:textFill>
                  <w14:solidFill>
                    <w14:schemeClr w14:val="tx1"/>
                  </w14:solidFill>
                </w14:textFill>
              </w:rPr>
            </w:pPr>
          </w:p>
        </w:tc>
        <w:tc>
          <w:tcPr>
            <w:tcW w:w="1980" w:type="dxa"/>
            <w:tcBorders>
              <w:top w:val="nil"/>
            </w:tcBorders>
          </w:tcPr>
          <w:p w14:paraId="4FF12315">
            <w:pPr>
              <w:rPr>
                <w:rFonts w:ascii="宋体" w:hAnsi="宋体" w:cs="宋体"/>
                <w:color w:val="000000" w:themeColor="text1"/>
                <w:szCs w:val="21"/>
                <w:highlight w:val="none"/>
                <w14:textFill>
                  <w14:solidFill>
                    <w14:schemeClr w14:val="tx1"/>
                  </w14:solidFill>
                </w14:textFill>
              </w:rPr>
            </w:pPr>
          </w:p>
        </w:tc>
        <w:tc>
          <w:tcPr>
            <w:tcW w:w="4669" w:type="dxa"/>
            <w:tcBorders>
              <w:top w:val="nil"/>
            </w:tcBorders>
          </w:tcPr>
          <w:p w14:paraId="0FE4459C">
            <w:pPr>
              <w:rPr>
                <w:rFonts w:ascii="宋体" w:hAnsi="宋体" w:cs="宋体"/>
                <w:color w:val="000000" w:themeColor="text1"/>
                <w:szCs w:val="21"/>
                <w:highlight w:val="none"/>
                <w14:textFill>
                  <w14:solidFill>
                    <w14:schemeClr w14:val="tx1"/>
                  </w14:solidFill>
                </w14:textFill>
              </w:rPr>
            </w:pPr>
          </w:p>
        </w:tc>
        <w:tc>
          <w:tcPr>
            <w:tcW w:w="1272" w:type="dxa"/>
            <w:tcBorders>
              <w:top w:val="nil"/>
            </w:tcBorders>
          </w:tcPr>
          <w:p w14:paraId="1DB014D8">
            <w:pPr>
              <w:rPr>
                <w:rFonts w:ascii="宋体" w:hAnsi="宋体" w:cs="宋体"/>
                <w:color w:val="000000" w:themeColor="text1"/>
                <w:szCs w:val="21"/>
                <w:highlight w:val="none"/>
                <w14:textFill>
                  <w14:solidFill>
                    <w14:schemeClr w14:val="tx1"/>
                  </w14:solidFill>
                </w14:textFill>
              </w:rPr>
            </w:pPr>
          </w:p>
        </w:tc>
      </w:tr>
      <w:tr w14:paraId="4415AA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3C42B576">
            <w:pPr>
              <w:rPr>
                <w:rFonts w:ascii="宋体" w:hAnsi="宋体" w:cs="宋体"/>
                <w:color w:val="000000" w:themeColor="text1"/>
                <w:szCs w:val="21"/>
                <w:highlight w:val="none"/>
                <w14:textFill>
                  <w14:solidFill>
                    <w14:schemeClr w14:val="tx1"/>
                  </w14:solidFill>
                </w14:textFill>
              </w:rPr>
            </w:pPr>
          </w:p>
        </w:tc>
        <w:tc>
          <w:tcPr>
            <w:tcW w:w="1980" w:type="dxa"/>
          </w:tcPr>
          <w:p w14:paraId="5D938A10">
            <w:pPr>
              <w:rPr>
                <w:rFonts w:ascii="宋体" w:hAnsi="宋体" w:cs="宋体"/>
                <w:color w:val="000000" w:themeColor="text1"/>
                <w:szCs w:val="21"/>
                <w:highlight w:val="none"/>
                <w14:textFill>
                  <w14:solidFill>
                    <w14:schemeClr w14:val="tx1"/>
                  </w14:solidFill>
                </w14:textFill>
              </w:rPr>
            </w:pPr>
          </w:p>
        </w:tc>
        <w:tc>
          <w:tcPr>
            <w:tcW w:w="4669" w:type="dxa"/>
          </w:tcPr>
          <w:p w14:paraId="5DEEBDA1">
            <w:pPr>
              <w:rPr>
                <w:rFonts w:ascii="宋体" w:hAnsi="宋体" w:cs="宋体"/>
                <w:color w:val="000000" w:themeColor="text1"/>
                <w:szCs w:val="21"/>
                <w:highlight w:val="none"/>
                <w14:textFill>
                  <w14:solidFill>
                    <w14:schemeClr w14:val="tx1"/>
                  </w14:solidFill>
                </w14:textFill>
              </w:rPr>
            </w:pPr>
          </w:p>
        </w:tc>
        <w:tc>
          <w:tcPr>
            <w:tcW w:w="1272" w:type="dxa"/>
          </w:tcPr>
          <w:p w14:paraId="764266C1">
            <w:pPr>
              <w:rPr>
                <w:rFonts w:ascii="宋体" w:hAnsi="宋体" w:cs="宋体"/>
                <w:color w:val="000000" w:themeColor="text1"/>
                <w:szCs w:val="21"/>
                <w:highlight w:val="none"/>
                <w14:textFill>
                  <w14:solidFill>
                    <w14:schemeClr w14:val="tx1"/>
                  </w14:solidFill>
                </w14:textFill>
              </w:rPr>
            </w:pPr>
          </w:p>
        </w:tc>
      </w:tr>
      <w:tr w14:paraId="71173A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44FCB12F">
            <w:pPr>
              <w:rPr>
                <w:rFonts w:ascii="宋体" w:hAnsi="宋体" w:cs="宋体"/>
                <w:color w:val="000000" w:themeColor="text1"/>
                <w:szCs w:val="21"/>
                <w:highlight w:val="none"/>
                <w14:textFill>
                  <w14:solidFill>
                    <w14:schemeClr w14:val="tx1"/>
                  </w14:solidFill>
                </w14:textFill>
              </w:rPr>
            </w:pPr>
          </w:p>
        </w:tc>
        <w:tc>
          <w:tcPr>
            <w:tcW w:w="1980" w:type="dxa"/>
          </w:tcPr>
          <w:p w14:paraId="5337AD0F">
            <w:pPr>
              <w:rPr>
                <w:rFonts w:ascii="宋体" w:hAnsi="宋体" w:cs="宋体"/>
                <w:color w:val="000000" w:themeColor="text1"/>
                <w:szCs w:val="21"/>
                <w:highlight w:val="none"/>
                <w14:textFill>
                  <w14:solidFill>
                    <w14:schemeClr w14:val="tx1"/>
                  </w14:solidFill>
                </w14:textFill>
              </w:rPr>
            </w:pPr>
          </w:p>
        </w:tc>
        <w:tc>
          <w:tcPr>
            <w:tcW w:w="4669" w:type="dxa"/>
          </w:tcPr>
          <w:p w14:paraId="10F62B62">
            <w:pPr>
              <w:rPr>
                <w:rFonts w:ascii="宋体" w:hAnsi="宋体" w:cs="宋体"/>
                <w:color w:val="000000" w:themeColor="text1"/>
                <w:szCs w:val="21"/>
                <w:highlight w:val="none"/>
                <w14:textFill>
                  <w14:solidFill>
                    <w14:schemeClr w14:val="tx1"/>
                  </w14:solidFill>
                </w14:textFill>
              </w:rPr>
            </w:pPr>
          </w:p>
        </w:tc>
        <w:tc>
          <w:tcPr>
            <w:tcW w:w="1272" w:type="dxa"/>
          </w:tcPr>
          <w:p w14:paraId="53653D4A">
            <w:pPr>
              <w:rPr>
                <w:rFonts w:ascii="宋体" w:hAnsi="宋体" w:cs="宋体"/>
                <w:color w:val="000000" w:themeColor="text1"/>
                <w:szCs w:val="21"/>
                <w:highlight w:val="none"/>
                <w14:textFill>
                  <w14:solidFill>
                    <w14:schemeClr w14:val="tx1"/>
                  </w14:solidFill>
                </w14:textFill>
              </w:rPr>
            </w:pPr>
          </w:p>
        </w:tc>
      </w:tr>
      <w:tr w14:paraId="0C0441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1265676A">
            <w:pPr>
              <w:rPr>
                <w:rFonts w:ascii="宋体" w:hAnsi="宋体" w:cs="宋体"/>
                <w:color w:val="000000" w:themeColor="text1"/>
                <w:szCs w:val="21"/>
                <w:highlight w:val="none"/>
                <w14:textFill>
                  <w14:solidFill>
                    <w14:schemeClr w14:val="tx1"/>
                  </w14:solidFill>
                </w14:textFill>
              </w:rPr>
            </w:pPr>
          </w:p>
        </w:tc>
        <w:tc>
          <w:tcPr>
            <w:tcW w:w="1980" w:type="dxa"/>
          </w:tcPr>
          <w:p w14:paraId="58B760E4">
            <w:pPr>
              <w:rPr>
                <w:rFonts w:ascii="宋体" w:hAnsi="宋体" w:cs="宋体"/>
                <w:color w:val="000000" w:themeColor="text1"/>
                <w:szCs w:val="21"/>
                <w:highlight w:val="none"/>
                <w14:textFill>
                  <w14:solidFill>
                    <w14:schemeClr w14:val="tx1"/>
                  </w14:solidFill>
                </w14:textFill>
              </w:rPr>
            </w:pPr>
          </w:p>
        </w:tc>
        <w:tc>
          <w:tcPr>
            <w:tcW w:w="4669" w:type="dxa"/>
          </w:tcPr>
          <w:p w14:paraId="581ED871">
            <w:pPr>
              <w:rPr>
                <w:rFonts w:ascii="宋体" w:hAnsi="宋体" w:cs="宋体"/>
                <w:color w:val="000000" w:themeColor="text1"/>
                <w:szCs w:val="21"/>
                <w:highlight w:val="none"/>
                <w14:textFill>
                  <w14:solidFill>
                    <w14:schemeClr w14:val="tx1"/>
                  </w14:solidFill>
                </w14:textFill>
              </w:rPr>
            </w:pPr>
          </w:p>
        </w:tc>
        <w:tc>
          <w:tcPr>
            <w:tcW w:w="1272" w:type="dxa"/>
          </w:tcPr>
          <w:p w14:paraId="1FBA7B2A">
            <w:pPr>
              <w:rPr>
                <w:rFonts w:ascii="宋体" w:hAnsi="宋体" w:cs="宋体"/>
                <w:color w:val="000000" w:themeColor="text1"/>
                <w:szCs w:val="21"/>
                <w:highlight w:val="none"/>
                <w14:textFill>
                  <w14:solidFill>
                    <w14:schemeClr w14:val="tx1"/>
                  </w14:solidFill>
                </w14:textFill>
              </w:rPr>
            </w:pPr>
          </w:p>
        </w:tc>
      </w:tr>
      <w:tr w14:paraId="1C5DD4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6A14D41D">
            <w:pPr>
              <w:rPr>
                <w:rFonts w:ascii="宋体" w:hAnsi="宋体" w:cs="宋体"/>
                <w:color w:val="000000" w:themeColor="text1"/>
                <w:szCs w:val="21"/>
                <w:highlight w:val="none"/>
                <w14:textFill>
                  <w14:solidFill>
                    <w14:schemeClr w14:val="tx1"/>
                  </w14:solidFill>
                </w14:textFill>
              </w:rPr>
            </w:pPr>
          </w:p>
        </w:tc>
        <w:tc>
          <w:tcPr>
            <w:tcW w:w="1980" w:type="dxa"/>
          </w:tcPr>
          <w:p w14:paraId="45F733E7">
            <w:pPr>
              <w:rPr>
                <w:rFonts w:ascii="宋体" w:hAnsi="宋体" w:cs="宋体"/>
                <w:color w:val="000000" w:themeColor="text1"/>
                <w:szCs w:val="21"/>
                <w:highlight w:val="none"/>
                <w14:textFill>
                  <w14:solidFill>
                    <w14:schemeClr w14:val="tx1"/>
                  </w14:solidFill>
                </w14:textFill>
              </w:rPr>
            </w:pPr>
          </w:p>
        </w:tc>
        <w:tc>
          <w:tcPr>
            <w:tcW w:w="4669" w:type="dxa"/>
          </w:tcPr>
          <w:p w14:paraId="4868E834">
            <w:pPr>
              <w:rPr>
                <w:rFonts w:ascii="宋体" w:hAnsi="宋体" w:cs="宋体"/>
                <w:color w:val="000000" w:themeColor="text1"/>
                <w:szCs w:val="21"/>
                <w:highlight w:val="none"/>
                <w14:textFill>
                  <w14:solidFill>
                    <w14:schemeClr w14:val="tx1"/>
                  </w14:solidFill>
                </w14:textFill>
              </w:rPr>
            </w:pPr>
          </w:p>
        </w:tc>
        <w:tc>
          <w:tcPr>
            <w:tcW w:w="1272" w:type="dxa"/>
          </w:tcPr>
          <w:p w14:paraId="056B5588">
            <w:pPr>
              <w:rPr>
                <w:rFonts w:ascii="宋体" w:hAnsi="宋体" w:cs="宋体"/>
                <w:color w:val="000000" w:themeColor="text1"/>
                <w:szCs w:val="21"/>
                <w:highlight w:val="none"/>
                <w14:textFill>
                  <w14:solidFill>
                    <w14:schemeClr w14:val="tx1"/>
                  </w14:solidFill>
                </w14:textFill>
              </w:rPr>
            </w:pPr>
          </w:p>
        </w:tc>
      </w:tr>
      <w:tr w14:paraId="2A14D5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69A94CF9">
            <w:pPr>
              <w:rPr>
                <w:rFonts w:ascii="宋体" w:hAnsi="宋体" w:cs="宋体"/>
                <w:color w:val="000000" w:themeColor="text1"/>
                <w:szCs w:val="21"/>
                <w:highlight w:val="none"/>
                <w14:textFill>
                  <w14:solidFill>
                    <w14:schemeClr w14:val="tx1"/>
                  </w14:solidFill>
                </w14:textFill>
              </w:rPr>
            </w:pPr>
          </w:p>
        </w:tc>
        <w:tc>
          <w:tcPr>
            <w:tcW w:w="1980" w:type="dxa"/>
          </w:tcPr>
          <w:p w14:paraId="4E235840">
            <w:pPr>
              <w:rPr>
                <w:rFonts w:ascii="宋体" w:hAnsi="宋体" w:cs="宋体"/>
                <w:color w:val="000000" w:themeColor="text1"/>
                <w:szCs w:val="21"/>
                <w:highlight w:val="none"/>
                <w14:textFill>
                  <w14:solidFill>
                    <w14:schemeClr w14:val="tx1"/>
                  </w14:solidFill>
                </w14:textFill>
              </w:rPr>
            </w:pPr>
          </w:p>
        </w:tc>
        <w:tc>
          <w:tcPr>
            <w:tcW w:w="4669" w:type="dxa"/>
          </w:tcPr>
          <w:p w14:paraId="0CF0BC50">
            <w:pPr>
              <w:rPr>
                <w:rFonts w:ascii="宋体" w:hAnsi="宋体" w:cs="宋体"/>
                <w:color w:val="000000" w:themeColor="text1"/>
                <w:szCs w:val="21"/>
                <w:highlight w:val="none"/>
                <w14:textFill>
                  <w14:solidFill>
                    <w14:schemeClr w14:val="tx1"/>
                  </w14:solidFill>
                </w14:textFill>
              </w:rPr>
            </w:pPr>
          </w:p>
        </w:tc>
        <w:tc>
          <w:tcPr>
            <w:tcW w:w="1272" w:type="dxa"/>
          </w:tcPr>
          <w:p w14:paraId="32AAEF34">
            <w:pPr>
              <w:rPr>
                <w:rFonts w:ascii="宋体" w:hAnsi="宋体" w:cs="宋体"/>
                <w:color w:val="000000" w:themeColor="text1"/>
                <w:szCs w:val="21"/>
                <w:highlight w:val="none"/>
                <w14:textFill>
                  <w14:solidFill>
                    <w14:schemeClr w14:val="tx1"/>
                  </w14:solidFill>
                </w14:textFill>
              </w:rPr>
            </w:pPr>
          </w:p>
        </w:tc>
      </w:tr>
      <w:tr w14:paraId="08BC8C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63E94F1D">
            <w:pPr>
              <w:rPr>
                <w:rFonts w:ascii="宋体" w:hAnsi="宋体" w:cs="宋体"/>
                <w:color w:val="000000" w:themeColor="text1"/>
                <w:szCs w:val="21"/>
                <w:highlight w:val="none"/>
                <w14:textFill>
                  <w14:solidFill>
                    <w14:schemeClr w14:val="tx1"/>
                  </w14:solidFill>
                </w14:textFill>
              </w:rPr>
            </w:pPr>
          </w:p>
        </w:tc>
        <w:tc>
          <w:tcPr>
            <w:tcW w:w="1980" w:type="dxa"/>
          </w:tcPr>
          <w:p w14:paraId="33E72DDC">
            <w:pPr>
              <w:rPr>
                <w:rFonts w:ascii="宋体" w:hAnsi="宋体" w:cs="宋体"/>
                <w:color w:val="000000" w:themeColor="text1"/>
                <w:szCs w:val="21"/>
                <w:highlight w:val="none"/>
                <w14:textFill>
                  <w14:solidFill>
                    <w14:schemeClr w14:val="tx1"/>
                  </w14:solidFill>
                </w14:textFill>
              </w:rPr>
            </w:pPr>
          </w:p>
        </w:tc>
        <w:tc>
          <w:tcPr>
            <w:tcW w:w="4669" w:type="dxa"/>
          </w:tcPr>
          <w:p w14:paraId="7D74476B">
            <w:pPr>
              <w:rPr>
                <w:rFonts w:ascii="宋体" w:hAnsi="宋体" w:cs="宋体"/>
                <w:color w:val="000000" w:themeColor="text1"/>
                <w:szCs w:val="21"/>
                <w:highlight w:val="none"/>
                <w14:textFill>
                  <w14:solidFill>
                    <w14:schemeClr w14:val="tx1"/>
                  </w14:solidFill>
                </w14:textFill>
              </w:rPr>
            </w:pPr>
          </w:p>
        </w:tc>
        <w:tc>
          <w:tcPr>
            <w:tcW w:w="1272" w:type="dxa"/>
          </w:tcPr>
          <w:p w14:paraId="3E375AD5">
            <w:pPr>
              <w:rPr>
                <w:rFonts w:ascii="宋体" w:hAnsi="宋体" w:cs="宋体"/>
                <w:color w:val="000000" w:themeColor="text1"/>
                <w:szCs w:val="21"/>
                <w:highlight w:val="none"/>
                <w14:textFill>
                  <w14:solidFill>
                    <w14:schemeClr w14:val="tx1"/>
                  </w14:solidFill>
                </w14:textFill>
              </w:rPr>
            </w:pPr>
          </w:p>
        </w:tc>
      </w:tr>
      <w:tr w14:paraId="47F9F1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14EF3233">
            <w:pPr>
              <w:rPr>
                <w:rFonts w:ascii="宋体" w:hAnsi="宋体" w:cs="宋体"/>
                <w:color w:val="000000" w:themeColor="text1"/>
                <w:szCs w:val="21"/>
                <w:highlight w:val="none"/>
                <w14:textFill>
                  <w14:solidFill>
                    <w14:schemeClr w14:val="tx1"/>
                  </w14:solidFill>
                </w14:textFill>
              </w:rPr>
            </w:pPr>
          </w:p>
        </w:tc>
        <w:tc>
          <w:tcPr>
            <w:tcW w:w="1980" w:type="dxa"/>
          </w:tcPr>
          <w:p w14:paraId="25C2508A">
            <w:pPr>
              <w:rPr>
                <w:rFonts w:ascii="宋体" w:hAnsi="宋体" w:cs="宋体"/>
                <w:color w:val="000000" w:themeColor="text1"/>
                <w:szCs w:val="21"/>
                <w:highlight w:val="none"/>
                <w14:textFill>
                  <w14:solidFill>
                    <w14:schemeClr w14:val="tx1"/>
                  </w14:solidFill>
                </w14:textFill>
              </w:rPr>
            </w:pPr>
          </w:p>
        </w:tc>
        <w:tc>
          <w:tcPr>
            <w:tcW w:w="4669" w:type="dxa"/>
          </w:tcPr>
          <w:p w14:paraId="4A001EEE">
            <w:pPr>
              <w:rPr>
                <w:rFonts w:ascii="宋体" w:hAnsi="宋体" w:cs="宋体"/>
                <w:color w:val="000000" w:themeColor="text1"/>
                <w:szCs w:val="21"/>
                <w:highlight w:val="none"/>
                <w14:textFill>
                  <w14:solidFill>
                    <w14:schemeClr w14:val="tx1"/>
                  </w14:solidFill>
                </w14:textFill>
              </w:rPr>
            </w:pPr>
          </w:p>
        </w:tc>
        <w:tc>
          <w:tcPr>
            <w:tcW w:w="1272" w:type="dxa"/>
          </w:tcPr>
          <w:p w14:paraId="3512D3D4">
            <w:pPr>
              <w:rPr>
                <w:rFonts w:ascii="宋体" w:hAnsi="宋体" w:cs="宋体"/>
                <w:color w:val="000000" w:themeColor="text1"/>
                <w:szCs w:val="21"/>
                <w:highlight w:val="none"/>
                <w14:textFill>
                  <w14:solidFill>
                    <w14:schemeClr w14:val="tx1"/>
                  </w14:solidFill>
                </w14:textFill>
              </w:rPr>
            </w:pPr>
          </w:p>
        </w:tc>
      </w:tr>
      <w:tr w14:paraId="1E2A57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2FC26588">
            <w:pPr>
              <w:rPr>
                <w:rFonts w:ascii="宋体" w:hAnsi="宋体" w:cs="宋体"/>
                <w:color w:val="000000" w:themeColor="text1"/>
                <w:szCs w:val="21"/>
                <w:highlight w:val="none"/>
                <w14:textFill>
                  <w14:solidFill>
                    <w14:schemeClr w14:val="tx1"/>
                  </w14:solidFill>
                </w14:textFill>
              </w:rPr>
            </w:pPr>
          </w:p>
        </w:tc>
        <w:tc>
          <w:tcPr>
            <w:tcW w:w="1980" w:type="dxa"/>
          </w:tcPr>
          <w:p w14:paraId="0744822D">
            <w:pPr>
              <w:rPr>
                <w:rFonts w:ascii="宋体" w:hAnsi="宋体" w:cs="宋体"/>
                <w:color w:val="000000" w:themeColor="text1"/>
                <w:szCs w:val="21"/>
                <w:highlight w:val="none"/>
                <w14:textFill>
                  <w14:solidFill>
                    <w14:schemeClr w14:val="tx1"/>
                  </w14:solidFill>
                </w14:textFill>
              </w:rPr>
            </w:pPr>
          </w:p>
        </w:tc>
        <w:tc>
          <w:tcPr>
            <w:tcW w:w="4669" w:type="dxa"/>
          </w:tcPr>
          <w:p w14:paraId="2FAE1B81">
            <w:pPr>
              <w:rPr>
                <w:rFonts w:ascii="宋体" w:hAnsi="宋体" w:cs="宋体"/>
                <w:color w:val="000000" w:themeColor="text1"/>
                <w:szCs w:val="21"/>
                <w:highlight w:val="none"/>
                <w14:textFill>
                  <w14:solidFill>
                    <w14:schemeClr w14:val="tx1"/>
                  </w14:solidFill>
                </w14:textFill>
              </w:rPr>
            </w:pPr>
          </w:p>
        </w:tc>
        <w:tc>
          <w:tcPr>
            <w:tcW w:w="1272" w:type="dxa"/>
          </w:tcPr>
          <w:p w14:paraId="73BC9A7E">
            <w:pPr>
              <w:rPr>
                <w:rFonts w:ascii="宋体" w:hAnsi="宋体" w:cs="宋体"/>
                <w:color w:val="000000" w:themeColor="text1"/>
                <w:szCs w:val="21"/>
                <w:highlight w:val="none"/>
                <w14:textFill>
                  <w14:solidFill>
                    <w14:schemeClr w14:val="tx1"/>
                  </w14:solidFill>
                </w14:textFill>
              </w:rPr>
            </w:pPr>
          </w:p>
        </w:tc>
      </w:tr>
      <w:tr w14:paraId="19093A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3DED554C">
            <w:pPr>
              <w:rPr>
                <w:rFonts w:ascii="宋体" w:hAnsi="宋体" w:cs="宋体"/>
                <w:color w:val="000000" w:themeColor="text1"/>
                <w:szCs w:val="21"/>
                <w:highlight w:val="none"/>
                <w14:textFill>
                  <w14:solidFill>
                    <w14:schemeClr w14:val="tx1"/>
                  </w14:solidFill>
                </w14:textFill>
              </w:rPr>
            </w:pPr>
          </w:p>
        </w:tc>
        <w:tc>
          <w:tcPr>
            <w:tcW w:w="1980" w:type="dxa"/>
          </w:tcPr>
          <w:p w14:paraId="73DDEF44">
            <w:pPr>
              <w:rPr>
                <w:rFonts w:ascii="宋体" w:hAnsi="宋体" w:cs="宋体"/>
                <w:color w:val="000000" w:themeColor="text1"/>
                <w:szCs w:val="21"/>
                <w:highlight w:val="none"/>
                <w14:textFill>
                  <w14:solidFill>
                    <w14:schemeClr w14:val="tx1"/>
                  </w14:solidFill>
                </w14:textFill>
              </w:rPr>
            </w:pPr>
          </w:p>
        </w:tc>
        <w:tc>
          <w:tcPr>
            <w:tcW w:w="4669" w:type="dxa"/>
          </w:tcPr>
          <w:p w14:paraId="012EB903">
            <w:pPr>
              <w:rPr>
                <w:rFonts w:ascii="宋体" w:hAnsi="宋体" w:cs="宋体"/>
                <w:color w:val="000000" w:themeColor="text1"/>
                <w:szCs w:val="21"/>
                <w:highlight w:val="none"/>
                <w14:textFill>
                  <w14:solidFill>
                    <w14:schemeClr w14:val="tx1"/>
                  </w14:solidFill>
                </w14:textFill>
              </w:rPr>
            </w:pPr>
          </w:p>
        </w:tc>
        <w:tc>
          <w:tcPr>
            <w:tcW w:w="1272" w:type="dxa"/>
          </w:tcPr>
          <w:p w14:paraId="22DB7A98">
            <w:pPr>
              <w:rPr>
                <w:rFonts w:ascii="宋体" w:hAnsi="宋体" w:cs="宋体"/>
                <w:color w:val="000000" w:themeColor="text1"/>
                <w:szCs w:val="21"/>
                <w:highlight w:val="none"/>
                <w14:textFill>
                  <w14:solidFill>
                    <w14:schemeClr w14:val="tx1"/>
                  </w14:solidFill>
                </w14:textFill>
              </w:rPr>
            </w:pPr>
          </w:p>
        </w:tc>
      </w:tr>
      <w:tr w14:paraId="36F036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54022B6A">
            <w:pPr>
              <w:rPr>
                <w:rFonts w:ascii="宋体" w:hAnsi="宋体" w:cs="宋体"/>
                <w:color w:val="000000" w:themeColor="text1"/>
                <w:szCs w:val="21"/>
                <w:highlight w:val="none"/>
                <w14:textFill>
                  <w14:solidFill>
                    <w14:schemeClr w14:val="tx1"/>
                  </w14:solidFill>
                </w14:textFill>
              </w:rPr>
            </w:pPr>
          </w:p>
        </w:tc>
        <w:tc>
          <w:tcPr>
            <w:tcW w:w="1980" w:type="dxa"/>
          </w:tcPr>
          <w:p w14:paraId="3C940F10">
            <w:pPr>
              <w:rPr>
                <w:rFonts w:ascii="宋体" w:hAnsi="宋体" w:cs="宋体"/>
                <w:color w:val="000000" w:themeColor="text1"/>
                <w:szCs w:val="21"/>
                <w:highlight w:val="none"/>
                <w14:textFill>
                  <w14:solidFill>
                    <w14:schemeClr w14:val="tx1"/>
                  </w14:solidFill>
                </w14:textFill>
              </w:rPr>
            </w:pPr>
          </w:p>
        </w:tc>
        <w:tc>
          <w:tcPr>
            <w:tcW w:w="4669" w:type="dxa"/>
          </w:tcPr>
          <w:p w14:paraId="32F24251">
            <w:pPr>
              <w:rPr>
                <w:rFonts w:ascii="宋体" w:hAnsi="宋体" w:cs="宋体"/>
                <w:color w:val="000000" w:themeColor="text1"/>
                <w:szCs w:val="21"/>
                <w:highlight w:val="none"/>
                <w14:textFill>
                  <w14:solidFill>
                    <w14:schemeClr w14:val="tx1"/>
                  </w14:solidFill>
                </w14:textFill>
              </w:rPr>
            </w:pPr>
          </w:p>
        </w:tc>
        <w:tc>
          <w:tcPr>
            <w:tcW w:w="1272" w:type="dxa"/>
          </w:tcPr>
          <w:p w14:paraId="213F1DC3">
            <w:pPr>
              <w:rPr>
                <w:rFonts w:ascii="宋体" w:hAnsi="宋体" w:cs="宋体"/>
                <w:color w:val="000000" w:themeColor="text1"/>
                <w:szCs w:val="21"/>
                <w:highlight w:val="none"/>
                <w14:textFill>
                  <w14:solidFill>
                    <w14:schemeClr w14:val="tx1"/>
                  </w14:solidFill>
                </w14:textFill>
              </w:rPr>
            </w:pPr>
          </w:p>
        </w:tc>
      </w:tr>
      <w:tr w14:paraId="12C593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4D4D40B9">
            <w:pPr>
              <w:rPr>
                <w:rFonts w:ascii="宋体" w:hAnsi="宋体" w:cs="宋体"/>
                <w:color w:val="000000" w:themeColor="text1"/>
                <w:szCs w:val="21"/>
                <w:highlight w:val="none"/>
                <w14:textFill>
                  <w14:solidFill>
                    <w14:schemeClr w14:val="tx1"/>
                  </w14:solidFill>
                </w14:textFill>
              </w:rPr>
            </w:pPr>
          </w:p>
        </w:tc>
        <w:tc>
          <w:tcPr>
            <w:tcW w:w="1980" w:type="dxa"/>
          </w:tcPr>
          <w:p w14:paraId="26168ED6">
            <w:pPr>
              <w:rPr>
                <w:rFonts w:ascii="宋体" w:hAnsi="宋体" w:cs="宋体"/>
                <w:color w:val="000000" w:themeColor="text1"/>
                <w:szCs w:val="21"/>
                <w:highlight w:val="none"/>
                <w14:textFill>
                  <w14:solidFill>
                    <w14:schemeClr w14:val="tx1"/>
                  </w14:solidFill>
                </w14:textFill>
              </w:rPr>
            </w:pPr>
          </w:p>
        </w:tc>
        <w:tc>
          <w:tcPr>
            <w:tcW w:w="4669" w:type="dxa"/>
          </w:tcPr>
          <w:p w14:paraId="036D25D7">
            <w:pPr>
              <w:rPr>
                <w:rFonts w:ascii="宋体" w:hAnsi="宋体" w:cs="宋体"/>
                <w:color w:val="000000" w:themeColor="text1"/>
                <w:szCs w:val="21"/>
                <w:highlight w:val="none"/>
                <w14:textFill>
                  <w14:solidFill>
                    <w14:schemeClr w14:val="tx1"/>
                  </w14:solidFill>
                </w14:textFill>
              </w:rPr>
            </w:pPr>
          </w:p>
        </w:tc>
        <w:tc>
          <w:tcPr>
            <w:tcW w:w="1272" w:type="dxa"/>
          </w:tcPr>
          <w:p w14:paraId="26185D8B">
            <w:pPr>
              <w:rPr>
                <w:rFonts w:ascii="宋体" w:hAnsi="宋体" w:cs="宋体"/>
                <w:color w:val="000000" w:themeColor="text1"/>
                <w:szCs w:val="21"/>
                <w:highlight w:val="none"/>
                <w14:textFill>
                  <w14:solidFill>
                    <w14:schemeClr w14:val="tx1"/>
                  </w14:solidFill>
                </w14:textFill>
              </w:rPr>
            </w:pPr>
          </w:p>
        </w:tc>
      </w:tr>
      <w:tr w14:paraId="28A6EC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63F2E676">
            <w:pPr>
              <w:rPr>
                <w:rFonts w:ascii="宋体" w:hAnsi="宋体" w:cs="宋体"/>
                <w:color w:val="000000" w:themeColor="text1"/>
                <w:szCs w:val="21"/>
                <w:highlight w:val="none"/>
                <w14:textFill>
                  <w14:solidFill>
                    <w14:schemeClr w14:val="tx1"/>
                  </w14:solidFill>
                </w14:textFill>
              </w:rPr>
            </w:pPr>
          </w:p>
        </w:tc>
        <w:tc>
          <w:tcPr>
            <w:tcW w:w="1980" w:type="dxa"/>
          </w:tcPr>
          <w:p w14:paraId="4BABECBF">
            <w:pPr>
              <w:rPr>
                <w:rFonts w:ascii="宋体" w:hAnsi="宋体" w:cs="宋体"/>
                <w:color w:val="000000" w:themeColor="text1"/>
                <w:szCs w:val="21"/>
                <w:highlight w:val="none"/>
                <w14:textFill>
                  <w14:solidFill>
                    <w14:schemeClr w14:val="tx1"/>
                  </w14:solidFill>
                </w14:textFill>
              </w:rPr>
            </w:pPr>
          </w:p>
        </w:tc>
        <w:tc>
          <w:tcPr>
            <w:tcW w:w="4669" w:type="dxa"/>
          </w:tcPr>
          <w:p w14:paraId="070163F3">
            <w:pPr>
              <w:rPr>
                <w:rFonts w:ascii="宋体" w:hAnsi="宋体" w:cs="宋体"/>
                <w:color w:val="000000" w:themeColor="text1"/>
                <w:szCs w:val="21"/>
                <w:highlight w:val="none"/>
                <w14:textFill>
                  <w14:solidFill>
                    <w14:schemeClr w14:val="tx1"/>
                  </w14:solidFill>
                </w14:textFill>
              </w:rPr>
            </w:pPr>
          </w:p>
        </w:tc>
        <w:tc>
          <w:tcPr>
            <w:tcW w:w="1272" w:type="dxa"/>
          </w:tcPr>
          <w:p w14:paraId="0ADE0110">
            <w:pPr>
              <w:rPr>
                <w:rFonts w:ascii="宋体" w:hAnsi="宋体" w:cs="宋体"/>
                <w:color w:val="000000" w:themeColor="text1"/>
                <w:szCs w:val="21"/>
                <w:highlight w:val="none"/>
                <w14:textFill>
                  <w14:solidFill>
                    <w14:schemeClr w14:val="tx1"/>
                  </w14:solidFill>
                </w14:textFill>
              </w:rPr>
            </w:pPr>
          </w:p>
        </w:tc>
      </w:tr>
      <w:tr w14:paraId="3028E2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25F25951">
            <w:pPr>
              <w:rPr>
                <w:rFonts w:ascii="宋体" w:hAnsi="宋体" w:cs="宋体"/>
                <w:color w:val="000000" w:themeColor="text1"/>
                <w:szCs w:val="21"/>
                <w:highlight w:val="none"/>
                <w14:textFill>
                  <w14:solidFill>
                    <w14:schemeClr w14:val="tx1"/>
                  </w14:solidFill>
                </w14:textFill>
              </w:rPr>
            </w:pPr>
          </w:p>
        </w:tc>
        <w:tc>
          <w:tcPr>
            <w:tcW w:w="1980" w:type="dxa"/>
          </w:tcPr>
          <w:p w14:paraId="7EBB7909">
            <w:pPr>
              <w:rPr>
                <w:rFonts w:ascii="宋体" w:hAnsi="宋体" w:cs="宋体"/>
                <w:color w:val="000000" w:themeColor="text1"/>
                <w:szCs w:val="21"/>
                <w:highlight w:val="none"/>
                <w14:textFill>
                  <w14:solidFill>
                    <w14:schemeClr w14:val="tx1"/>
                  </w14:solidFill>
                </w14:textFill>
              </w:rPr>
            </w:pPr>
          </w:p>
        </w:tc>
        <w:tc>
          <w:tcPr>
            <w:tcW w:w="4669" w:type="dxa"/>
          </w:tcPr>
          <w:p w14:paraId="6A2461D4">
            <w:pPr>
              <w:rPr>
                <w:rFonts w:ascii="宋体" w:hAnsi="宋体" w:cs="宋体"/>
                <w:color w:val="000000" w:themeColor="text1"/>
                <w:szCs w:val="21"/>
                <w:highlight w:val="none"/>
                <w14:textFill>
                  <w14:solidFill>
                    <w14:schemeClr w14:val="tx1"/>
                  </w14:solidFill>
                </w14:textFill>
              </w:rPr>
            </w:pPr>
          </w:p>
        </w:tc>
        <w:tc>
          <w:tcPr>
            <w:tcW w:w="1272" w:type="dxa"/>
          </w:tcPr>
          <w:p w14:paraId="5A12BD9D">
            <w:pPr>
              <w:rPr>
                <w:rFonts w:ascii="宋体" w:hAnsi="宋体" w:cs="宋体"/>
                <w:color w:val="000000" w:themeColor="text1"/>
                <w:szCs w:val="21"/>
                <w:highlight w:val="none"/>
                <w14:textFill>
                  <w14:solidFill>
                    <w14:schemeClr w14:val="tx1"/>
                  </w14:solidFill>
                </w14:textFill>
              </w:rPr>
            </w:pPr>
          </w:p>
        </w:tc>
      </w:tr>
      <w:tr w14:paraId="6F3160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0096F0E4">
            <w:pPr>
              <w:rPr>
                <w:rFonts w:ascii="宋体" w:hAnsi="宋体" w:cs="宋体"/>
                <w:color w:val="000000" w:themeColor="text1"/>
                <w:szCs w:val="21"/>
                <w:highlight w:val="none"/>
                <w14:textFill>
                  <w14:solidFill>
                    <w14:schemeClr w14:val="tx1"/>
                  </w14:solidFill>
                </w14:textFill>
              </w:rPr>
            </w:pPr>
          </w:p>
        </w:tc>
        <w:tc>
          <w:tcPr>
            <w:tcW w:w="1980" w:type="dxa"/>
          </w:tcPr>
          <w:p w14:paraId="2D92E0F2">
            <w:pPr>
              <w:rPr>
                <w:rFonts w:ascii="宋体" w:hAnsi="宋体" w:cs="宋体"/>
                <w:color w:val="000000" w:themeColor="text1"/>
                <w:szCs w:val="21"/>
                <w:highlight w:val="none"/>
                <w14:textFill>
                  <w14:solidFill>
                    <w14:schemeClr w14:val="tx1"/>
                  </w14:solidFill>
                </w14:textFill>
              </w:rPr>
            </w:pPr>
          </w:p>
        </w:tc>
        <w:tc>
          <w:tcPr>
            <w:tcW w:w="4669" w:type="dxa"/>
          </w:tcPr>
          <w:p w14:paraId="258A4445">
            <w:pPr>
              <w:rPr>
                <w:rFonts w:ascii="宋体" w:hAnsi="宋体" w:cs="宋体"/>
                <w:color w:val="000000" w:themeColor="text1"/>
                <w:szCs w:val="21"/>
                <w:highlight w:val="none"/>
                <w14:textFill>
                  <w14:solidFill>
                    <w14:schemeClr w14:val="tx1"/>
                  </w14:solidFill>
                </w14:textFill>
              </w:rPr>
            </w:pPr>
          </w:p>
        </w:tc>
        <w:tc>
          <w:tcPr>
            <w:tcW w:w="1272" w:type="dxa"/>
          </w:tcPr>
          <w:p w14:paraId="06157878">
            <w:pPr>
              <w:rPr>
                <w:rFonts w:ascii="宋体" w:hAnsi="宋体" w:cs="宋体"/>
                <w:color w:val="000000" w:themeColor="text1"/>
                <w:szCs w:val="21"/>
                <w:highlight w:val="none"/>
                <w14:textFill>
                  <w14:solidFill>
                    <w14:schemeClr w14:val="tx1"/>
                  </w14:solidFill>
                </w14:textFill>
              </w:rPr>
            </w:pPr>
          </w:p>
        </w:tc>
      </w:tr>
      <w:tr w14:paraId="59AE28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31367338">
            <w:pPr>
              <w:rPr>
                <w:rFonts w:ascii="宋体" w:hAnsi="宋体" w:cs="宋体"/>
                <w:color w:val="000000" w:themeColor="text1"/>
                <w:szCs w:val="21"/>
                <w:highlight w:val="none"/>
                <w14:textFill>
                  <w14:solidFill>
                    <w14:schemeClr w14:val="tx1"/>
                  </w14:solidFill>
                </w14:textFill>
              </w:rPr>
            </w:pPr>
          </w:p>
        </w:tc>
        <w:tc>
          <w:tcPr>
            <w:tcW w:w="1980" w:type="dxa"/>
          </w:tcPr>
          <w:p w14:paraId="57DB7547">
            <w:pPr>
              <w:rPr>
                <w:rFonts w:ascii="宋体" w:hAnsi="宋体" w:cs="宋体"/>
                <w:color w:val="000000" w:themeColor="text1"/>
                <w:szCs w:val="21"/>
                <w:highlight w:val="none"/>
                <w14:textFill>
                  <w14:solidFill>
                    <w14:schemeClr w14:val="tx1"/>
                  </w14:solidFill>
                </w14:textFill>
              </w:rPr>
            </w:pPr>
          </w:p>
        </w:tc>
        <w:tc>
          <w:tcPr>
            <w:tcW w:w="4669" w:type="dxa"/>
          </w:tcPr>
          <w:p w14:paraId="03EA28A0">
            <w:pPr>
              <w:rPr>
                <w:rFonts w:ascii="宋体" w:hAnsi="宋体" w:cs="宋体"/>
                <w:color w:val="000000" w:themeColor="text1"/>
                <w:szCs w:val="21"/>
                <w:highlight w:val="none"/>
                <w14:textFill>
                  <w14:solidFill>
                    <w14:schemeClr w14:val="tx1"/>
                  </w14:solidFill>
                </w14:textFill>
              </w:rPr>
            </w:pPr>
          </w:p>
        </w:tc>
        <w:tc>
          <w:tcPr>
            <w:tcW w:w="1272" w:type="dxa"/>
          </w:tcPr>
          <w:p w14:paraId="68F56B24">
            <w:pPr>
              <w:rPr>
                <w:rFonts w:ascii="宋体" w:hAnsi="宋体" w:cs="宋体"/>
                <w:color w:val="000000" w:themeColor="text1"/>
                <w:szCs w:val="21"/>
                <w:highlight w:val="none"/>
                <w14:textFill>
                  <w14:solidFill>
                    <w14:schemeClr w14:val="tx1"/>
                  </w14:solidFill>
                </w14:textFill>
              </w:rPr>
            </w:pPr>
          </w:p>
        </w:tc>
      </w:tr>
      <w:tr w14:paraId="5204F0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2D8082FE">
            <w:pPr>
              <w:rPr>
                <w:rFonts w:ascii="宋体" w:hAnsi="宋体" w:cs="宋体"/>
                <w:color w:val="000000" w:themeColor="text1"/>
                <w:szCs w:val="21"/>
                <w:highlight w:val="none"/>
                <w14:textFill>
                  <w14:solidFill>
                    <w14:schemeClr w14:val="tx1"/>
                  </w14:solidFill>
                </w14:textFill>
              </w:rPr>
            </w:pPr>
          </w:p>
        </w:tc>
        <w:tc>
          <w:tcPr>
            <w:tcW w:w="1980" w:type="dxa"/>
          </w:tcPr>
          <w:p w14:paraId="6D7CF842">
            <w:pPr>
              <w:rPr>
                <w:rFonts w:ascii="宋体" w:hAnsi="宋体" w:cs="宋体"/>
                <w:color w:val="000000" w:themeColor="text1"/>
                <w:szCs w:val="21"/>
                <w:highlight w:val="none"/>
                <w14:textFill>
                  <w14:solidFill>
                    <w14:schemeClr w14:val="tx1"/>
                  </w14:solidFill>
                </w14:textFill>
              </w:rPr>
            </w:pPr>
          </w:p>
        </w:tc>
        <w:tc>
          <w:tcPr>
            <w:tcW w:w="4669" w:type="dxa"/>
          </w:tcPr>
          <w:p w14:paraId="256CFAA2">
            <w:pPr>
              <w:rPr>
                <w:rFonts w:ascii="宋体" w:hAnsi="宋体" w:cs="宋体"/>
                <w:color w:val="000000" w:themeColor="text1"/>
                <w:szCs w:val="21"/>
                <w:highlight w:val="none"/>
                <w14:textFill>
                  <w14:solidFill>
                    <w14:schemeClr w14:val="tx1"/>
                  </w14:solidFill>
                </w14:textFill>
              </w:rPr>
            </w:pPr>
          </w:p>
        </w:tc>
        <w:tc>
          <w:tcPr>
            <w:tcW w:w="1272" w:type="dxa"/>
          </w:tcPr>
          <w:p w14:paraId="20506157">
            <w:pPr>
              <w:rPr>
                <w:rFonts w:ascii="宋体" w:hAnsi="宋体" w:cs="宋体"/>
                <w:color w:val="000000" w:themeColor="text1"/>
                <w:szCs w:val="21"/>
                <w:highlight w:val="none"/>
                <w14:textFill>
                  <w14:solidFill>
                    <w14:schemeClr w14:val="tx1"/>
                  </w14:solidFill>
                </w14:textFill>
              </w:rPr>
            </w:pPr>
          </w:p>
        </w:tc>
      </w:tr>
      <w:tr w14:paraId="3C53DD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68307159">
            <w:pPr>
              <w:rPr>
                <w:rFonts w:ascii="宋体" w:hAnsi="宋体" w:cs="宋体"/>
                <w:color w:val="000000" w:themeColor="text1"/>
                <w:szCs w:val="21"/>
                <w:highlight w:val="none"/>
                <w14:textFill>
                  <w14:solidFill>
                    <w14:schemeClr w14:val="tx1"/>
                  </w14:solidFill>
                </w14:textFill>
              </w:rPr>
            </w:pPr>
          </w:p>
        </w:tc>
        <w:tc>
          <w:tcPr>
            <w:tcW w:w="1980" w:type="dxa"/>
          </w:tcPr>
          <w:p w14:paraId="32BAD3C7">
            <w:pPr>
              <w:rPr>
                <w:rFonts w:ascii="宋体" w:hAnsi="宋体" w:cs="宋体"/>
                <w:color w:val="000000" w:themeColor="text1"/>
                <w:szCs w:val="21"/>
                <w:highlight w:val="none"/>
                <w14:textFill>
                  <w14:solidFill>
                    <w14:schemeClr w14:val="tx1"/>
                  </w14:solidFill>
                </w14:textFill>
              </w:rPr>
            </w:pPr>
          </w:p>
        </w:tc>
        <w:tc>
          <w:tcPr>
            <w:tcW w:w="4669" w:type="dxa"/>
          </w:tcPr>
          <w:p w14:paraId="265692C9">
            <w:pPr>
              <w:rPr>
                <w:rFonts w:ascii="宋体" w:hAnsi="宋体" w:cs="宋体"/>
                <w:color w:val="000000" w:themeColor="text1"/>
                <w:szCs w:val="21"/>
                <w:highlight w:val="none"/>
                <w14:textFill>
                  <w14:solidFill>
                    <w14:schemeClr w14:val="tx1"/>
                  </w14:solidFill>
                </w14:textFill>
              </w:rPr>
            </w:pPr>
          </w:p>
        </w:tc>
        <w:tc>
          <w:tcPr>
            <w:tcW w:w="1272" w:type="dxa"/>
          </w:tcPr>
          <w:p w14:paraId="178453DF">
            <w:pPr>
              <w:rPr>
                <w:rFonts w:ascii="宋体" w:hAnsi="宋体" w:cs="宋体"/>
                <w:color w:val="000000" w:themeColor="text1"/>
                <w:szCs w:val="21"/>
                <w:highlight w:val="none"/>
                <w14:textFill>
                  <w14:solidFill>
                    <w14:schemeClr w14:val="tx1"/>
                  </w14:solidFill>
                </w14:textFill>
              </w:rPr>
            </w:pPr>
          </w:p>
        </w:tc>
      </w:tr>
      <w:tr w14:paraId="637233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221A6FB7">
            <w:pPr>
              <w:rPr>
                <w:rFonts w:ascii="宋体" w:hAnsi="宋体" w:cs="宋体"/>
                <w:color w:val="000000" w:themeColor="text1"/>
                <w:szCs w:val="21"/>
                <w:highlight w:val="none"/>
                <w14:textFill>
                  <w14:solidFill>
                    <w14:schemeClr w14:val="tx1"/>
                  </w14:solidFill>
                </w14:textFill>
              </w:rPr>
            </w:pPr>
          </w:p>
        </w:tc>
        <w:tc>
          <w:tcPr>
            <w:tcW w:w="1980" w:type="dxa"/>
          </w:tcPr>
          <w:p w14:paraId="1E5F94C3">
            <w:pPr>
              <w:rPr>
                <w:rFonts w:ascii="宋体" w:hAnsi="宋体" w:cs="宋体"/>
                <w:color w:val="000000" w:themeColor="text1"/>
                <w:szCs w:val="21"/>
                <w:highlight w:val="none"/>
                <w14:textFill>
                  <w14:solidFill>
                    <w14:schemeClr w14:val="tx1"/>
                  </w14:solidFill>
                </w14:textFill>
              </w:rPr>
            </w:pPr>
          </w:p>
        </w:tc>
        <w:tc>
          <w:tcPr>
            <w:tcW w:w="4669" w:type="dxa"/>
          </w:tcPr>
          <w:p w14:paraId="6A11D072">
            <w:pPr>
              <w:rPr>
                <w:rFonts w:ascii="宋体" w:hAnsi="宋体" w:cs="宋体"/>
                <w:color w:val="000000" w:themeColor="text1"/>
                <w:szCs w:val="21"/>
                <w:highlight w:val="none"/>
                <w14:textFill>
                  <w14:solidFill>
                    <w14:schemeClr w14:val="tx1"/>
                  </w14:solidFill>
                </w14:textFill>
              </w:rPr>
            </w:pPr>
          </w:p>
        </w:tc>
        <w:tc>
          <w:tcPr>
            <w:tcW w:w="1272" w:type="dxa"/>
          </w:tcPr>
          <w:p w14:paraId="762E5E08">
            <w:pPr>
              <w:rPr>
                <w:rFonts w:ascii="宋体" w:hAnsi="宋体" w:cs="宋体"/>
                <w:color w:val="000000" w:themeColor="text1"/>
                <w:szCs w:val="21"/>
                <w:highlight w:val="none"/>
                <w14:textFill>
                  <w14:solidFill>
                    <w14:schemeClr w14:val="tx1"/>
                  </w14:solidFill>
                </w14:textFill>
              </w:rPr>
            </w:pPr>
          </w:p>
        </w:tc>
      </w:tr>
      <w:tr w14:paraId="6C9FC5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43B3056F">
            <w:pPr>
              <w:rPr>
                <w:rFonts w:ascii="宋体" w:hAnsi="宋体" w:cs="宋体"/>
                <w:color w:val="000000" w:themeColor="text1"/>
                <w:szCs w:val="21"/>
                <w:highlight w:val="none"/>
                <w14:textFill>
                  <w14:solidFill>
                    <w14:schemeClr w14:val="tx1"/>
                  </w14:solidFill>
                </w14:textFill>
              </w:rPr>
            </w:pPr>
          </w:p>
        </w:tc>
        <w:tc>
          <w:tcPr>
            <w:tcW w:w="1980" w:type="dxa"/>
          </w:tcPr>
          <w:p w14:paraId="5DAB5231">
            <w:pPr>
              <w:rPr>
                <w:rFonts w:ascii="宋体" w:hAnsi="宋体" w:cs="宋体"/>
                <w:color w:val="000000" w:themeColor="text1"/>
                <w:szCs w:val="21"/>
                <w:highlight w:val="none"/>
                <w14:textFill>
                  <w14:solidFill>
                    <w14:schemeClr w14:val="tx1"/>
                  </w14:solidFill>
                </w14:textFill>
              </w:rPr>
            </w:pPr>
          </w:p>
        </w:tc>
        <w:tc>
          <w:tcPr>
            <w:tcW w:w="4669" w:type="dxa"/>
          </w:tcPr>
          <w:p w14:paraId="7B50478C">
            <w:pPr>
              <w:rPr>
                <w:rFonts w:ascii="宋体" w:hAnsi="宋体" w:cs="宋体"/>
                <w:color w:val="000000" w:themeColor="text1"/>
                <w:szCs w:val="21"/>
                <w:highlight w:val="none"/>
                <w14:textFill>
                  <w14:solidFill>
                    <w14:schemeClr w14:val="tx1"/>
                  </w14:solidFill>
                </w14:textFill>
              </w:rPr>
            </w:pPr>
          </w:p>
        </w:tc>
        <w:tc>
          <w:tcPr>
            <w:tcW w:w="1272" w:type="dxa"/>
          </w:tcPr>
          <w:p w14:paraId="64FEA196">
            <w:pPr>
              <w:rPr>
                <w:rFonts w:ascii="宋体" w:hAnsi="宋体" w:cs="宋体"/>
                <w:color w:val="000000" w:themeColor="text1"/>
                <w:szCs w:val="21"/>
                <w:highlight w:val="none"/>
                <w14:textFill>
                  <w14:solidFill>
                    <w14:schemeClr w14:val="tx1"/>
                  </w14:solidFill>
                </w14:textFill>
              </w:rPr>
            </w:pPr>
          </w:p>
        </w:tc>
      </w:tr>
      <w:tr w14:paraId="3AA692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16A7216A">
            <w:pPr>
              <w:rPr>
                <w:rFonts w:ascii="宋体" w:hAnsi="宋体" w:cs="宋体"/>
                <w:color w:val="000000" w:themeColor="text1"/>
                <w:szCs w:val="21"/>
                <w:highlight w:val="none"/>
                <w14:textFill>
                  <w14:solidFill>
                    <w14:schemeClr w14:val="tx1"/>
                  </w14:solidFill>
                </w14:textFill>
              </w:rPr>
            </w:pPr>
          </w:p>
        </w:tc>
        <w:tc>
          <w:tcPr>
            <w:tcW w:w="1980" w:type="dxa"/>
          </w:tcPr>
          <w:p w14:paraId="0E4A27C4">
            <w:pPr>
              <w:rPr>
                <w:rFonts w:ascii="宋体" w:hAnsi="宋体" w:cs="宋体"/>
                <w:color w:val="000000" w:themeColor="text1"/>
                <w:szCs w:val="21"/>
                <w:highlight w:val="none"/>
                <w14:textFill>
                  <w14:solidFill>
                    <w14:schemeClr w14:val="tx1"/>
                  </w14:solidFill>
                </w14:textFill>
              </w:rPr>
            </w:pPr>
          </w:p>
        </w:tc>
        <w:tc>
          <w:tcPr>
            <w:tcW w:w="4669" w:type="dxa"/>
          </w:tcPr>
          <w:p w14:paraId="4ADED994">
            <w:pPr>
              <w:rPr>
                <w:rFonts w:ascii="宋体" w:hAnsi="宋体" w:cs="宋体"/>
                <w:color w:val="000000" w:themeColor="text1"/>
                <w:szCs w:val="21"/>
                <w:highlight w:val="none"/>
                <w14:textFill>
                  <w14:solidFill>
                    <w14:schemeClr w14:val="tx1"/>
                  </w14:solidFill>
                </w14:textFill>
              </w:rPr>
            </w:pPr>
          </w:p>
        </w:tc>
        <w:tc>
          <w:tcPr>
            <w:tcW w:w="1272" w:type="dxa"/>
          </w:tcPr>
          <w:p w14:paraId="43B8F831">
            <w:pPr>
              <w:rPr>
                <w:rFonts w:ascii="宋体" w:hAnsi="宋体" w:cs="宋体"/>
                <w:color w:val="000000" w:themeColor="text1"/>
                <w:szCs w:val="21"/>
                <w:highlight w:val="none"/>
                <w14:textFill>
                  <w14:solidFill>
                    <w14:schemeClr w14:val="tx1"/>
                  </w14:solidFill>
                </w14:textFill>
              </w:rPr>
            </w:pPr>
          </w:p>
        </w:tc>
      </w:tr>
      <w:tr w14:paraId="02019B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5A1F8C4F">
            <w:pPr>
              <w:rPr>
                <w:rFonts w:ascii="宋体" w:hAnsi="宋体" w:cs="宋体"/>
                <w:color w:val="000000" w:themeColor="text1"/>
                <w:szCs w:val="21"/>
                <w:highlight w:val="none"/>
                <w14:textFill>
                  <w14:solidFill>
                    <w14:schemeClr w14:val="tx1"/>
                  </w14:solidFill>
                </w14:textFill>
              </w:rPr>
            </w:pPr>
          </w:p>
        </w:tc>
        <w:tc>
          <w:tcPr>
            <w:tcW w:w="1980" w:type="dxa"/>
          </w:tcPr>
          <w:p w14:paraId="7CADE581">
            <w:pPr>
              <w:rPr>
                <w:rFonts w:ascii="宋体" w:hAnsi="宋体" w:cs="宋体"/>
                <w:color w:val="000000" w:themeColor="text1"/>
                <w:szCs w:val="21"/>
                <w:highlight w:val="none"/>
                <w14:textFill>
                  <w14:solidFill>
                    <w14:schemeClr w14:val="tx1"/>
                  </w14:solidFill>
                </w14:textFill>
              </w:rPr>
            </w:pPr>
          </w:p>
        </w:tc>
        <w:tc>
          <w:tcPr>
            <w:tcW w:w="4669" w:type="dxa"/>
          </w:tcPr>
          <w:p w14:paraId="1C452D29">
            <w:pPr>
              <w:rPr>
                <w:rFonts w:ascii="宋体" w:hAnsi="宋体" w:cs="宋体"/>
                <w:color w:val="000000" w:themeColor="text1"/>
                <w:szCs w:val="21"/>
                <w:highlight w:val="none"/>
                <w14:textFill>
                  <w14:solidFill>
                    <w14:schemeClr w14:val="tx1"/>
                  </w14:solidFill>
                </w14:textFill>
              </w:rPr>
            </w:pPr>
          </w:p>
        </w:tc>
        <w:tc>
          <w:tcPr>
            <w:tcW w:w="1272" w:type="dxa"/>
          </w:tcPr>
          <w:p w14:paraId="0CEC4F9E">
            <w:pPr>
              <w:rPr>
                <w:rFonts w:ascii="宋体" w:hAnsi="宋体" w:cs="宋体"/>
                <w:color w:val="000000" w:themeColor="text1"/>
                <w:szCs w:val="21"/>
                <w:highlight w:val="none"/>
                <w14:textFill>
                  <w14:solidFill>
                    <w14:schemeClr w14:val="tx1"/>
                  </w14:solidFill>
                </w14:textFill>
              </w:rPr>
            </w:pPr>
          </w:p>
        </w:tc>
      </w:tr>
      <w:tr w14:paraId="4A30AB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5BCE19C5">
            <w:pPr>
              <w:rPr>
                <w:rFonts w:ascii="宋体" w:hAnsi="宋体" w:cs="宋体"/>
                <w:color w:val="000000" w:themeColor="text1"/>
                <w:szCs w:val="21"/>
                <w:highlight w:val="none"/>
                <w14:textFill>
                  <w14:solidFill>
                    <w14:schemeClr w14:val="tx1"/>
                  </w14:solidFill>
                </w14:textFill>
              </w:rPr>
            </w:pPr>
          </w:p>
        </w:tc>
        <w:tc>
          <w:tcPr>
            <w:tcW w:w="1980" w:type="dxa"/>
          </w:tcPr>
          <w:p w14:paraId="19C2E2C5">
            <w:pPr>
              <w:rPr>
                <w:rFonts w:ascii="宋体" w:hAnsi="宋体" w:cs="宋体"/>
                <w:color w:val="000000" w:themeColor="text1"/>
                <w:szCs w:val="21"/>
                <w:highlight w:val="none"/>
                <w14:textFill>
                  <w14:solidFill>
                    <w14:schemeClr w14:val="tx1"/>
                  </w14:solidFill>
                </w14:textFill>
              </w:rPr>
            </w:pPr>
          </w:p>
        </w:tc>
        <w:tc>
          <w:tcPr>
            <w:tcW w:w="4669" w:type="dxa"/>
          </w:tcPr>
          <w:p w14:paraId="12D23159">
            <w:pPr>
              <w:rPr>
                <w:rFonts w:ascii="宋体" w:hAnsi="宋体" w:cs="宋体"/>
                <w:color w:val="000000" w:themeColor="text1"/>
                <w:szCs w:val="21"/>
                <w:highlight w:val="none"/>
                <w14:textFill>
                  <w14:solidFill>
                    <w14:schemeClr w14:val="tx1"/>
                  </w14:solidFill>
                </w14:textFill>
              </w:rPr>
            </w:pPr>
          </w:p>
        </w:tc>
        <w:tc>
          <w:tcPr>
            <w:tcW w:w="1272" w:type="dxa"/>
          </w:tcPr>
          <w:p w14:paraId="5531CE6A">
            <w:pPr>
              <w:rPr>
                <w:rFonts w:ascii="宋体" w:hAnsi="宋体" w:cs="宋体"/>
                <w:color w:val="000000" w:themeColor="text1"/>
                <w:szCs w:val="21"/>
                <w:highlight w:val="none"/>
                <w14:textFill>
                  <w14:solidFill>
                    <w14:schemeClr w14:val="tx1"/>
                  </w14:solidFill>
                </w14:textFill>
              </w:rPr>
            </w:pPr>
          </w:p>
        </w:tc>
      </w:tr>
      <w:tr w14:paraId="184637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72" w:hRule="atLeast"/>
          <w:jc w:val="center"/>
        </w:trPr>
        <w:tc>
          <w:tcPr>
            <w:tcW w:w="876" w:type="dxa"/>
          </w:tcPr>
          <w:p w14:paraId="0D1DEF49">
            <w:pPr>
              <w:rPr>
                <w:rFonts w:ascii="宋体" w:hAnsi="宋体" w:cs="宋体"/>
                <w:color w:val="000000" w:themeColor="text1"/>
                <w:szCs w:val="21"/>
                <w:highlight w:val="none"/>
                <w14:textFill>
                  <w14:solidFill>
                    <w14:schemeClr w14:val="tx1"/>
                  </w14:solidFill>
                </w14:textFill>
              </w:rPr>
            </w:pPr>
          </w:p>
        </w:tc>
        <w:tc>
          <w:tcPr>
            <w:tcW w:w="1980" w:type="dxa"/>
          </w:tcPr>
          <w:p w14:paraId="655718EF">
            <w:pPr>
              <w:rPr>
                <w:rFonts w:ascii="宋体" w:hAnsi="宋体" w:cs="宋体"/>
                <w:color w:val="000000" w:themeColor="text1"/>
                <w:szCs w:val="21"/>
                <w:highlight w:val="none"/>
                <w14:textFill>
                  <w14:solidFill>
                    <w14:schemeClr w14:val="tx1"/>
                  </w14:solidFill>
                </w14:textFill>
              </w:rPr>
            </w:pPr>
          </w:p>
        </w:tc>
        <w:tc>
          <w:tcPr>
            <w:tcW w:w="4669" w:type="dxa"/>
          </w:tcPr>
          <w:p w14:paraId="65916495">
            <w:pPr>
              <w:rPr>
                <w:rFonts w:ascii="宋体" w:hAnsi="宋体" w:cs="宋体"/>
                <w:color w:val="000000" w:themeColor="text1"/>
                <w:szCs w:val="21"/>
                <w:highlight w:val="none"/>
                <w14:textFill>
                  <w14:solidFill>
                    <w14:schemeClr w14:val="tx1"/>
                  </w14:solidFill>
                </w14:textFill>
              </w:rPr>
            </w:pPr>
          </w:p>
        </w:tc>
        <w:tc>
          <w:tcPr>
            <w:tcW w:w="1272" w:type="dxa"/>
          </w:tcPr>
          <w:p w14:paraId="77107562">
            <w:pPr>
              <w:rPr>
                <w:rFonts w:ascii="宋体" w:hAnsi="宋体" w:cs="宋体"/>
                <w:color w:val="000000" w:themeColor="text1"/>
                <w:szCs w:val="21"/>
                <w:highlight w:val="none"/>
                <w14:textFill>
                  <w14:solidFill>
                    <w14:schemeClr w14:val="tx1"/>
                  </w14:solidFill>
                </w14:textFill>
              </w:rPr>
            </w:pPr>
          </w:p>
        </w:tc>
      </w:tr>
      <w:tr w14:paraId="7B0701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5" w:hRule="atLeast"/>
          <w:jc w:val="center"/>
        </w:trPr>
        <w:tc>
          <w:tcPr>
            <w:tcW w:w="8797" w:type="dxa"/>
            <w:gridSpan w:val="4"/>
          </w:tcPr>
          <w:p w14:paraId="41004996">
            <w:pP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小计：</w:t>
            </w:r>
          </w:p>
        </w:tc>
      </w:tr>
    </w:tbl>
    <w:p w14:paraId="0510A4C8">
      <w:pPr>
        <w:rPr>
          <w:color w:val="000000" w:themeColor="text1"/>
          <w:highlight w:val="none"/>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70BA1C">
    <w:pPr>
      <w:pStyle w:val="6"/>
      <w:rPr>
        <w:rFonts w:eastAsia="仿宋_GB2312"/>
        <w:sz w:val="24"/>
      </w:rPr>
    </w:pPr>
    <w:r>
      <w:rPr>
        <w:sz w:val="24"/>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0"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49A0DA38">
                          <w:pPr>
                            <w:pStyle w:val="6"/>
                          </w:pPr>
                          <w:r>
                            <w:fldChar w:fldCharType="begin"/>
                          </w:r>
                          <w:r>
                            <w:instrText xml:space="preserve"> PAGE  \* MERGEFORMAT </w:instrText>
                          </w:r>
                          <w:r>
                            <w:fldChar w:fldCharType="separate"/>
                          </w:r>
                          <w:r>
                            <w:t>58</w:t>
                          </w:r>
                          <w:r>
                            <w:fldChar w:fldCharType="end"/>
                          </w:r>
                        </w:p>
                      </w:txbxContent>
                    </wps:txbx>
                    <wps:bodyPr vert="horz" wrap="none" lIns="0" tIns="0" rIns="0" bIns="0" anchor="t">
                      <a:spAutoFit/>
                    </wps:bodyPr>
                  </wps:wsp>
                </a:graphicData>
              </a:graphic>
            </wp:anchor>
          </w:drawing>
        </mc:Choice>
        <mc:Fallback>
          <w:pict>
            <v:rect id="文本框 3"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MhuuerIAQAAkgMAAA4AAABkcnMvZTJvRG9jLnhtbK1TzY7TMBC+I/EO&#10;lu80aUGoipqukKpFSAhWWngA13EaS/7TjNukPAC8AScu3HmuPgdjJ+mulsseuDgzHvub7/s82dwM&#10;1rCTAtTe1Xy5KDlTTvpGu0PNv365fbXmDKNwjTDeqZqfFfKb7csXmz5UauU7bxoFjEAcVn2oeRdj&#10;qIoCZaeswIUPylGx9WBFpBQORQOiJ3RrilVZvi16D00ALxUi7e7GIp8Q4TmAvm21VDsvj1a5OKKC&#10;MiKSJOx0QL7NbNtWyfi5bVFFZmpOSmNeqQnF+7QW242oDiBCp+VEQTyHwhNNVmhHTa9QOxEFO4L+&#10;B8pqCR59GxfS22IUkh0hFcvyiTf3nQgqayGrMVxNx/8HKz+d7oDppuZvliWZ4oSlN7/8/HH59efy&#10;+zt7nRzqA1Z08D7cwZQhhUnu0IJNXxLChuzq+eqqGiKTtLlcr9brhC2pNieEUzxcD4DxvfKWpaDm&#10;QM+W3RSnjxjHo/OR1M24tDp/q40Zq2mnSDRHYimKw36Y2O59cyaVNPQE3nn4xllPT15zRxPOmfng&#10;yNE0HXMAc7CfA+EkXaz5yAvDu2Ok9plbajZ2mDjQU2V101ilWXic51MPv9L2L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Ll1uVLQAAAABQEAAA8AAAAAAAAAAQAgAAAAIgAAAGRycy9kb3ducmV2Lnht&#10;bFBLAQIUABQAAAAIAIdO4kDIbrnqyAEAAJIDAAAOAAAAAAAAAAEAIAAAAB8BAABkcnMvZTJvRG9j&#10;LnhtbFBLBQYAAAAABgAGAFkBAABZBQAAAAA=&#10;">
              <v:fill on="f" focussize="0,0"/>
              <v:stroke on="f"/>
              <v:imagedata o:title=""/>
              <o:lock v:ext="edit" aspectratio="f"/>
              <v:textbox inset="0mm,0mm,0mm,0mm" style="mso-fit-shape-to-text:t;">
                <w:txbxContent>
                  <w:p w14:paraId="49A0DA38">
                    <w:pPr>
                      <w:pStyle w:val="6"/>
                    </w:pPr>
                    <w:r>
                      <w:fldChar w:fldCharType="begin"/>
                    </w:r>
                    <w:r>
                      <w:instrText xml:space="preserve"> PAGE  \* MERGEFORMAT </w:instrText>
                    </w:r>
                    <w:r>
                      <w:fldChar w:fldCharType="separate"/>
                    </w:r>
                    <w:r>
                      <w:t>58</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3C3DD9">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1" name="文本框 6"/>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747A1645">
                          <w:pPr>
                            <w:pStyle w:val="6"/>
                          </w:pPr>
                          <w:r>
                            <w:fldChar w:fldCharType="begin"/>
                          </w:r>
                          <w:r>
                            <w:instrText xml:space="preserve"> PAGE  \* MERGEFORMAT </w:instrText>
                          </w:r>
                          <w:r>
                            <w:fldChar w:fldCharType="separate"/>
                          </w:r>
                          <w:r>
                            <w:t>57</w:t>
                          </w:r>
                          <w:r>
                            <w:fldChar w:fldCharType="end"/>
                          </w:r>
                        </w:p>
                      </w:txbxContent>
                    </wps:txbx>
                    <wps:bodyPr vert="horz" wrap="none" lIns="0" tIns="0" rIns="0" bIns="0" anchor="t">
                      <a:spAutoFit/>
                    </wps:bodyPr>
                  </wps:wsp>
                </a:graphicData>
              </a:graphic>
            </wp:anchor>
          </w:drawing>
        </mc:Choice>
        <mc:Fallback>
          <w:pict>
            <v:rect id="文本框 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w3+qnKAQAAkgMAAA4AAABkcnMvZTJvRG9jLnhtbK1TS27bMBDdF8gd&#10;CO5jSUYRGILloICRokCQBkh7AJqiLAL8YYa25B6gvUFX3XTfc/kcHerjBOkmi26oGQ755r3H0fq2&#10;t4YdFaD2ruLFIudMOelr7fYV//rl7nrFGUbhamG8UxU/KeS3m6t36y6Uaulbb2oFjEAcll2oeBtj&#10;KLMMZauswIUPylGx8WBFpBT2WQ2iI3RrsmWe32SdhzqAlwqRdrdjkU+I8BZA3zRaqq2XB6tcHFFB&#10;GRFJErY6IN8MbJtGyfi5aVBFZipOSuOwUhOKd2nNNmtR7kGEVsuJgngLhVearNCOml6gtiIKdgD9&#10;D5TVEjz6Ji6kt9koZHCEVBT5K2+eWhHUoIWsxnAxHf8frHw4PgLTdcXfF3nBmROW3vz888f515/z&#10;7+/sJjnUBSzp4FN4hClDCpPcvgGbviSE9YOrp4urqo9M0maxWq5WORkuqTYnhJM9Xw+A8aPylqWg&#10;4kDPNrgpjvcYx6PzkdTNuLQ6f6eNGatpJ0s0R2Ipiv2un9jufH0ilTT0BN56+MZZR09ecUcTzpn5&#10;5MjRNB1zAHOwmwPhJF2s+MgLw4dDpPYDt9Rs7DBxoKca1E1jlWbhZT6cev6VNn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uXW5UtAAAAAFAQAADwAAAAAAAAABACAAAAAiAAAAZHJzL2Rvd25yZXYu&#10;eG1sUEsBAhQAFAAAAAgAh07iQBw3+qnKAQAAkgMAAA4AAAAAAAAAAQAgAAAAHwEAAGRycy9lMm9E&#10;b2MueG1sUEsFBgAAAAAGAAYAWQEAAFsFAAAAAA==&#10;">
              <v:fill on="f" focussize="0,0"/>
              <v:stroke on="f"/>
              <v:imagedata o:title=""/>
              <o:lock v:ext="edit" aspectratio="f"/>
              <v:textbox inset="0mm,0mm,0mm,0mm" style="mso-fit-shape-to-text:t;">
                <w:txbxContent>
                  <w:p w14:paraId="747A1645">
                    <w:pPr>
                      <w:pStyle w:val="6"/>
                    </w:pPr>
                    <w:r>
                      <w:fldChar w:fldCharType="begin"/>
                    </w:r>
                    <w:r>
                      <w:instrText xml:space="preserve"> PAGE  \* MERGEFORMAT </w:instrText>
                    </w:r>
                    <w:r>
                      <w:fldChar w:fldCharType="separate"/>
                    </w:r>
                    <w:r>
                      <w:t>57</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E90844"/>
    <w:rsid w:val="069D7295"/>
    <w:rsid w:val="093525C0"/>
    <w:rsid w:val="09FB07D4"/>
    <w:rsid w:val="0ACC485F"/>
    <w:rsid w:val="0DA52143"/>
    <w:rsid w:val="0F91096C"/>
    <w:rsid w:val="1072324E"/>
    <w:rsid w:val="1193356B"/>
    <w:rsid w:val="11B0107E"/>
    <w:rsid w:val="12C83B80"/>
    <w:rsid w:val="12E0359D"/>
    <w:rsid w:val="17E32446"/>
    <w:rsid w:val="18AC1C15"/>
    <w:rsid w:val="192A5572"/>
    <w:rsid w:val="1A0314E0"/>
    <w:rsid w:val="1A4A0B93"/>
    <w:rsid w:val="1CB3762C"/>
    <w:rsid w:val="1E4C2105"/>
    <w:rsid w:val="1EEC13EF"/>
    <w:rsid w:val="1FE80E07"/>
    <w:rsid w:val="219F6403"/>
    <w:rsid w:val="23616D06"/>
    <w:rsid w:val="271B0BF0"/>
    <w:rsid w:val="2B2B6F28"/>
    <w:rsid w:val="2B944ACD"/>
    <w:rsid w:val="2BBB64FD"/>
    <w:rsid w:val="2C2C6020"/>
    <w:rsid w:val="315A597D"/>
    <w:rsid w:val="33B4267E"/>
    <w:rsid w:val="369938DF"/>
    <w:rsid w:val="3745194B"/>
    <w:rsid w:val="3B8406BA"/>
    <w:rsid w:val="41527133"/>
    <w:rsid w:val="429000B9"/>
    <w:rsid w:val="4592539F"/>
    <w:rsid w:val="4AEE405B"/>
    <w:rsid w:val="4DDE1EAC"/>
    <w:rsid w:val="4E415F07"/>
    <w:rsid w:val="4F9B5B7A"/>
    <w:rsid w:val="50F40C98"/>
    <w:rsid w:val="54483FC5"/>
    <w:rsid w:val="552E2FF3"/>
    <w:rsid w:val="58791908"/>
    <w:rsid w:val="58A2435B"/>
    <w:rsid w:val="58BC728D"/>
    <w:rsid w:val="5A2151EA"/>
    <w:rsid w:val="5AB10EDB"/>
    <w:rsid w:val="5BCF366A"/>
    <w:rsid w:val="5E1831B8"/>
    <w:rsid w:val="5EBF6A73"/>
    <w:rsid w:val="60271F21"/>
    <w:rsid w:val="60A352DB"/>
    <w:rsid w:val="661078B0"/>
    <w:rsid w:val="66931CAA"/>
    <w:rsid w:val="66E373E5"/>
    <w:rsid w:val="6A260884"/>
    <w:rsid w:val="6B21615B"/>
    <w:rsid w:val="7093075D"/>
    <w:rsid w:val="7141639D"/>
    <w:rsid w:val="715C2F64"/>
    <w:rsid w:val="7349007D"/>
    <w:rsid w:val="73A86934"/>
    <w:rsid w:val="757D0B5E"/>
    <w:rsid w:val="790E5F89"/>
    <w:rsid w:val="7AD16D99"/>
    <w:rsid w:val="7D360B0D"/>
    <w:rsid w:val="7F567244"/>
    <w:rsid w:val="7F630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99"/>
    <w:pPr>
      <w:tabs>
        <w:tab w:val="left" w:pos="588"/>
      </w:tabs>
      <w:spacing w:line="360" w:lineRule="auto"/>
      <w:outlineLvl w:val="2"/>
    </w:pPr>
    <w:rPr>
      <w:rFonts w:ascii="Tahoma" w:hAnsi="Tahoma"/>
    </w:rPr>
  </w:style>
  <w:style w:type="paragraph" w:styleId="4">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5">
    <w:name w:val="Document Map"/>
    <w:basedOn w:val="1"/>
    <w:qFormat/>
    <w:uiPriority w:val="99"/>
    <w:pPr>
      <w:spacing w:line="440" w:lineRule="exact"/>
    </w:pPr>
    <w:rPr>
      <w:rFonts w:ascii="宋体"/>
      <w:sz w:val="18"/>
      <w:szCs w:val="18"/>
    </w:rPr>
  </w:style>
  <w:style w:type="paragraph" w:styleId="6">
    <w:name w:val="footer"/>
    <w:basedOn w:val="1"/>
    <w:qFormat/>
    <w:uiPriority w:val="99"/>
    <w:pPr>
      <w:tabs>
        <w:tab w:val="center" w:pos="4153"/>
        <w:tab w:val="right" w:pos="8306"/>
      </w:tabs>
      <w:snapToGrid w:val="0"/>
      <w:jc w:val="left"/>
    </w:pPr>
    <w:rPr>
      <w:sz w:val="18"/>
      <w:szCs w:val="18"/>
    </w:rPr>
  </w:style>
  <w:style w:type="paragraph" w:customStyle="1" w:styleId="9">
    <w:name w:val="Char"/>
    <w:basedOn w:val="5"/>
    <w:qFormat/>
    <w:uiPriority w:val="0"/>
    <w:rPr>
      <w:rFonts w:ascii="仿宋_GB2312" w:eastAsia="仿宋_GB2312"/>
      <w:b/>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12057</Words>
  <Characters>12778</Characters>
  <Lines>0</Lines>
  <Paragraphs>0</Paragraphs>
  <TotalTime>3</TotalTime>
  <ScaleCrop>false</ScaleCrop>
  <LinksUpToDate>false</LinksUpToDate>
  <CharactersWithSpaces>15469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2025-11-07T09:05:00Z</dcterms:created>
  <dc:creator>17758</dc:creator>
  <cp:lastModifiedBy>Cxixi</cp:lastModifiedBy>
  <dcterms:modified xsi:type="dcterms:W3CDTF">2026-01-08T06:49:26Z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eyJoZGlkIjoiYzAwM2QwMTA1YTYzZWVjMjFjMGQwMTVjYzcwNmRiMmYiLCJ1c2VySWQiOiI4NzM3NTIwNDEifQ==</vt:lpwstr>
  </property>
  <property fmtid="{D5CDD505-2E9C-101B-9397-08002B2CF9AE}" pid="4" name="ICV">
    <vt:lpwstr>C69D1AA4D6044AFFBED570F567FF3095_12</vt:lpwstr>
  </property>
</Properties>
</file>