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版本号：ZCSP-华县-2026-0001220260209001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华州区人民医院医疗设备采购项目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ZCSP-华县-2026-00012</w:t>
      </w:r>
      <w:r>
        <w:br/>
      </w:r>
      <w:r>
        <w:br/>
      </w:r>
      <w:r>
        <w:br/>
      </w:r>
    </w:p>
    <w:p>
      <w:pPr>
        <w:pStyle w:val="null3"/>
        <w:jc w:val="center"/>
        <w:outlineLvl w:val="2"/>
      </w:pPr>
      <w:r>
        <w:rPr>
          <w:rFonts w:ascii="仿宋_GB2312" w:hAnsi="仿宋_GB2312" w:cs="仿宋_GB2312" w:eastAsia="仿宋_GB2312"/>
          <w:sz w:val="28"/>
          <w:b/>
        </w:rPr>
        <w:t>渭南市华州区人民医院</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渭南市华州区人民医院</w:t>
      </w:r>
      <w:r>
        <w:rPr>
          <w:rFonts w:ascii="仿宋_GB2312" w:hAnsi="仿宋_GB2312" w:cs="仿宋_GB2312" w:eastAsia="仿宋_GB2312"/>
        </w:rPr>
        <w:t>委托，拟对</w:t>
      </w:r>
      <w:r>
        <w:rPr>
          <w:rFonts w:ascii="仿宋_GB2312" w:hAnsi="仿宋_GB2312" w:cs="仿宋_GB2312" w:eastAsia="仿宋_GB2312"/>
        </w:rPr>
        <w:t>华州区人民医院医疗设备采购项目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ZCSP-华县-2026-00012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华州区人民医院医疗设备采购项目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为确保检验质量、提升工作效率。经研究，拟采购检验医疗设备6台/套。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投标人为代理商的须提供有效的《医疗器械经营许可证》（或医疗器械经营备案凭证）和生产厂家的《医疗器械生产许可证》（或医疗器械生产备案凭证）复印件和所投产品的《医疗器械产品注册证》（或《医疗器械产品备案凭证》）复印件；投标人为制造厂家应出具《医疗器械经营许可证》（或医疗器械经营备案凭证）及《医疗器械生产许可证》（或医疗器械生产备案凭证）和所投产品《医疗器械产品注册证》（或《医疗器械产品备案凭证》）</w:t>
      </w:r>
    </w:p>
    <w:p>
      <w:pPr>
        <w:pStyle w:val="null3"/>
      </w:pPr>
      <w:r>
        <w:rPr>
          <w:rFonts w:ascii="仿宋_GB2312" w:hAnsi="仿宋_GB2312" w:cs="仿宋_GB2312" w:eastAsia="仿宋_GB2312"/>
        </w:rPr>
        <w:t>2、法定代表人身份证明书/法定代表人授权委托书：法定代表人参与投标时需提供法定代表人身份证明书（附法定代表人身份证复印件）；被授权人参与投标时需提供法定代表人身份证明书和法定代表人授权委托书（附法定代表人及被授权人身份证复印件）；</w:t>
      </w:r>
    </w:p>
    <w:p>
      <w:pPr>
        <w:pStyle w:val="null3"/>
      </w:pPr>
      <w:r>
        <w:rPr>
          <w:rFonts w:ascii="仿宋_GB2312" w:hAnsi="仿宋_GB2312" w:cs="仿宋_GB2312" w:eastAsia="仿宋_GB2312"/>
        </w:rPr>
        <w:t>3、投标保证金交纳凭证：投标保证金交纳凭证</w:t>
      </w:r>
    </w:p>
    <w:p>
      <w:pPr>
        <w:pStyle w:val="null3"/>
      </w:pPr>
      <w:r>
        <w:rPr>
          <w:rFonts w:ascii="仿宋_GB2312" w:hAnsi="仿宋_GB2312" w:cs="仿宋_GB2312" w:eastAsia="仿宋_GB2312"/>
        </w:rPr>
        <w:t>4、信用信息：投标人未列入“信用中国”网站（www.creditchina.gov.cn）失信被执行人、重大税收违法失信主体、政府采购严重违法失信行为记录名单和中国政府采购网（www.ccgp.gov.cn）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0913-4734003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金额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渭南市华州区人民医院</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联系人：董鹏飞</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为确保检验质量、提升工作效率。经研究，拟采购检验医疗设备6台/套。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1,065,000.00</w:t>
      </w:r>
    </w:p>
    <w:p>
      <w:pPr>
        <w:pStyle w:val="null3"/>
      </w:pPr>
      <w:r>
        <w:rPr>
          <w:rFonts w:ascii="仿宋_GB2312" w:hAnsi="仿宋_GB2312" w:cs="仿宋_GB2312" w:eastAsia="仿宋_GB2312"/>
        </w:rPr>
        <w:t>采购包最高限价（元）: 1,065,000.00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检验医疗设备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一、全自动血液分析仪流水线</w:t>
            </w:r>
          </w:p>
          <w:p>
            <w:pPr>
              <w:pStyle w:val="null3"/>
            </w:pPr>
            <w:r>
              <w:rPr>
                <w:rFonts w:ascii="仿宋_GB2312" w:hAnsi="仿宋_GB2312" w:cs="仿宋_GB2312" w:eastAsia="仿宋_GB2312"/>
              </w:rPr>
              <w:t>（一）血液分析仪技术</w:t>
            </w:r>
          </w:p>
          <w:p>
            <w:pPr>
              <w:pStyle w:val="null3"/>
            </w:pPr>
            <w:r>
              <w:rPr>
                <w:rFonts w:ascii="仿宋_GB2312" w:hAnsi="仿宋_GB2312" w:cs="仿宋_GB2312" w:eastAsia="仿宋_GB2312"/>
              </w:rPr>
              <w:t>1.检测方法及原理：血液分析采用半导体激光法、鞘流电阻抗法、核酸荧光染色法和流式细胞技术原理</w:t>
            </w:r>
          </w:p>
          <w:p>
            <w:pPr>
              <w:pStyle w:val="null3"/>
            </w:pPr>
            <w:r>
              <w:rPr>
                <w:rFonts w:ascii="仿宋_GB2312" w:hAnsi="仿宋_GB2312" w:cs="仿宋_GB2312" w:eastAsia="仿宋_GB2312"/>
              </w:rPr>
              <w:t>2.报告参数≥32个，散点图≥3个。</w:t>
            </w:r>
          </w:p>
          <w:p>
            <w:pPr>
              <w:pStyle w:val="null3"/>
            </w:pPr>
            <w:r>
              <w:rPr>
                <w:rFonts w:ascii="仿宋_GB2312" w:hAnsi="仿宋_GB2312" w:cs="仿宋_GB2312" w:eastAsia="仿宋_GB2312"/>
              </w:rPr>
              <w:t>3.▲单机检测速度：CBC＋DIFF＋NRBC ≥95个样本/小时，CBC+DIFF+NRBC+RET≥75样本/小时</w:t>
            </w:r>
          </w:p>
          <w:p>
            <w:pPr>
              <w:pStyle w:val="null3"/>
            </w:pPr>
            <w:r>
              <w:rPr>
                <w:rFonts w:ascii="仿宋_GB2312" w:hAnsi="仿宋_GB2312" w:cs="仿宋_GB2312" w:eastAsia="仿宋_GB2312"/>
              </w:rPr>
              <w:t>4.进样方式及用血量：静脉血和末梢全血均可自动批量进样或手动进样；样本用血量：全自动进样模式用血量80ul~180ul。</w:t>
            </w:r>
          </w:p>
          <w:p>
            <w:pPr>
              <w:pStyle w:val="null3"/>
            </w:pPr>
            <w:r>
              <w:rPr>
                <w:rFonts w:ascii="仿宋_GB2312" w:hAnsi="仿宋_GB2312" w:cs="仿宋_GB2312" w:eastAsia="仿宋_GB2312"/>
              </w:rPr>
              <w:t>5.标配自动进样器，自动进样器内轨标配回退功能，同时具备开放进样或封闭进样装置。</w:t>
            </w:r>
          </w:p>
          <w:p>
            <w:pPr>
              <w:pStyle w:val="null3"/>
            </w:pPr>
            <w:r>
              <w:rPr>
                <w:rFonts w:ascii="仿宋_GB2312" w:hAnsi="仿宋_GB2312" w:cs="仿宋_GB2312" w:eastAsia="仿宋_GB2312"/>
              </w:rPr>
              <w:t>6.末梢血自动批量检测模式支持以下功能：自动扫码进样、自动混匀、异常标本自动回退复检；自动混匀功能可适配主流末梢血采血管。</w:t>
            </w:r>
          </w:p>
          <w:p>
            <w:pPr>
              <w:pStyle w:val="null3"/>
            </w:pPr>
            <w:r>
              <w:rPr>
                <w:rFonts w:ascii="仿宋_GB2312" w:hAnsi="仿宋_GB2312" w:cs="仿宋_GB2312" w:eastAsia="仿宋_GB2312"/>
              </w:rPr>
              <w:t>7.预稀释模式也能进行白细胞五分类、有核红细胞检测，有急诊插入功能。体液模式：体液检测速度：≥30样本/小时，对脑脊液、胸水、腹水、关节腔积液等体液进行红细胞和白细胞计数,并对白细胞进行分类(删除）</w:t>
            </w:r>
          </w:p>
          <w:p>
            <w:pPr>
              <w:pStyle w:val="null3"/>
            </w:pPr>
            <w:r>
              <w:rPr>
                <w:rFonts w:ascii="仿宋_GB2312" w:hAnsi="仿宋_GB2312" w:cs="仿宋_GB2312" w:eastAsia="仿宋_GB2312"/>
              </w:rPr>
              <w:t>8.网织红细胞血红蛋白功能：具有定量报告检测网织红细胞血红蛋白含量的功能，为报告参数。</w:t>
            </w:r>
          </w:p>
          <w:p>
            <w:pPr>
              <w:pStyle w:val="null3"/>
            </w:pPr>
            <w:r>
              <w:rPr>
                <w:rFonts w:ascii="仿宋_GB2312" w:hAnsi="仿宋_GB2312" w:cs="仿宋_GB2312" w:eastAsia="仿宋_GB2312"/>
              </w:rPr>
              <w:t>9.使用荧光染料和半导体激光检测WBC五分类，并具有有核红细胞检测功能，并能自动进行对白细胞计数的校正。</w:t>
            </w:r>
          </w:p>
          <w:p>
            <w:pPr>
              <w:pStyle w:val="null3"/>
            </w:pPr>
            <w:r>
              <w:rPr>
                <w:rFonts w:ascii="仿宋_GB2312" w:hAnsi="仿宋_GB2312" w:cs="仿宋_GB2312" w:eastAsia="仿宋_GB2312"/>
              </w:rPr>
              <w:t>10.具有低值白细胞检测功能，如遇白细胞低值时自动增加计数颗粒数量来保证检测结果的准确性。</w:t>
            </w:r>
          </w:p>
          <w:p>
            <w:pPr>
              <w:pStyle w:val="null3"/>
            </w:pPr>
            <w:r>
              <w:rPr>
                <w:rFonts w:ascii="仿宋_GB2312" w:hAnsi="仿宋_GB2312" w:cs="仿宋_GB2312" w:eastAsia="仿宋_GB2312"/>
              </w:rPr>
              <w:t>11.配备中文报告及数据处理系统。</w:t>
            </w:r>
          </w:p>
          <w:p>
            <w:pPr>
              <w:pStyle w:val="null3"/>
            </w:pPr>
            <w:r>
              <w:rPr>
                <w:rFonts w:ascii="仿宋_GB2312" w:hAnsi="仿宋_GB2312" w:cs="仿宋_GB2312" w:eastAsia="仿宋_GB2312"/>
              </w:rPr>
              <w:t>12.▲血小板计数：≥两种方法进行血小板的计数，每种方法的检测通道都有校准，其中必备PLT-O。</w:t>
            </w:r>
          </w:p>
          <w:p>
            <w:pPr>
              <w:pStyle w:val="null3"/>
            </w:pPr>
            <w:r>
              <w:rPr>
                <w:rFonts w:ascii="仿宋_GB2312" w:hAnsi="仿宋_GB2312" w:cs="仿宋_GB2312" w:eastAsia="仿宋_GB2312"/>
              </w:rPr>
              <w:t>13.▲校准品：定期提供原厂配套的校准品，一只校准品可提供多个校准项目包含RBC、WBC、HGB、PLT、HCT、MCV、RET。</w:t>
            </w:r>
          </w:p>
          <w:p>
            <w:pPr>
              <w:pStyle w:val="null3"/>
            </w:pPr>
            <w:r>
              <w:rPr>
                <w:rFonts w:ascii="仿宋_GB2312" w:hAnsi="仿宋_GB2312" w:cs="仿宋_GB2312" w:eastAsia="仿宋_GB2312"/>
              </w:rPr>
              <w:t>14.▲质控品：定期提供原厂配套的高、中、低值全套质控品。同一质控品中包含CBC、白细胞分类及网织红细胞等在内的所有报告项目。</w:t>
            </w:r>
          </w:p>
          <w:p>
            <w:pPr>
              <w:pStyle w:val="null3"/>
            </w:pPr>
            <w:r>
              <w:rPr>
                <w:rFonts w:ascii="仿宋_GB2312" w:hAnsi="仿宋_GB2312" w:cs="仿宋_GB2312" w:eastAsia="仿宋_GB2312"/>
              </w:rPr>
              <w:t>15.可提供浓缩试剂供应系统，有水质及试剂质量监控，能根据采购人需求提供不同大小包装的浓缩试剂</w:t>
            </w:r>
          </w:p>
          <w:p>
            <w:pPr>
              <w:pStyle w:val="null3"/>
            </w:pPr>
            <w:r>
              <w:rPr>
                <w:rFonts w:ascii="仿宋_GB2312" w:hAnsi="仿宋_GB2312" w:cs="仿宋_GB2312" w:eastAsia="仿宋_GB2312"/>
              </w:rPr>
              <w:t>16.可以根据科室需要随时升级样本前处理功能</w:t>
            </w:r>
          </w:p>
          <w:p>
            <w:pPr>
              <w:pStyle w:val="null3"/>
            </w:pPr>
            <w:r>
              <w:rPr>
                <w:rFonts w:ascii="仿宋_GB2312" w:hAnsi="仿宋_GB2312" w:cs="仿宋_GB2312" w:eastAsia="仿宋_GB2312"/>
              </w:rPr>
              <w:t>17.可以根据科室需要随时升级样本存储功能</w:t>
            </w:r>
          </w:p>
          <w:p>
            <w:pPr>
              <w:pStyle w:val="null3"/>
            </w:pPr>
            <w:r>
              <w:rPr>
                <w:rFonts w:ascii="仿宋_GB2312" w:hAnsi="仿宋_GB2312" w:cs="仿宋_GB2312" w:eastAsia="仿宋_GB2312"/>
              </w:rPr>
              <w:t>18.▲试剂品牌2024年卫生部室间质评数据：投标品牌的同类产品在客户端使用参与卫生健康委临检中心的家数≥300家</w:t>
            </w:r>
          </w:p>
          <w:p>
            <w:pPr>
              <w:pStyle w:val="null3"/>
            </w:pPr>
            <w:r>
              <w:rPr>
                <w:rFonts w:ascii="仿宋_GB2312" w:hAnsi="仿宋_GB2312" w:cs="仿宋_GB2312" w:eastAsia="仿宋_GB2312"/>
              </w:rPr>
              <w:t>（二）特定蛋白分析仪技术</w:t>
            </w:r>
          </w:p>
          <w:p>
            <w:pPr>
              <w:pStyle w:val="null3"/>
            </w:pPr>
            <w:r>
              <w:rPr>
                <w:rFonts w:ascii="仿宋_GB2312" w:hAnsi="仿宋_GB2312" w:cs="仿宋_GB2312" w:eastAsia="仿宋_GB2312"/>
              </w:rPr>
              <w:t>19.方法学：散射比浊法</w:t>
            </w:r>
          </w:p>
          <w:p>
            <w:pPr>
              <w:pStyle w:val="null3"/>
            </w:pPr>
            <w:r>
              <w:rPr>
                <w:rFonts w:ascii="仿宋_GB2312" w:hAnsi="仿宋_GB2312" w:cs="仿宋_GB2312" w:eastAsia="仿宋_GB2312"/>
              </w:rPr>
              <w:t>20.▲单机检测检测速度≥180测试/小时</w:t>
            </w:r>
          </w:p>
          <w:p>
            <w:pPr>
              <w:pStyle w:val="null3"/>
            </w:pPr>
            <w:r>
              <w:rPr>
                <w:rFonts w:ascii="仿宋_GB2312" w:hAnsi="仿宋_GB2312" w:cs="仿宋_GB2312" w:eastAsia="仿宋_GB2312"/>
              </w:rPr>
              <w:t>21.检测项目：可同时检测C反应蛋白(CRP)及血清淀粉样蛋白A (SAA)</w:t>
            </w:r>
          </w:p>
          <w:p>
            <w:pPr>
              <w:pStyle w:val="null3"/>
            </w:pPr>
            <w:r>
              <w:rPr>
                <w:rFonts w:ascii="仿宋_GB2312" w:hAnsi="仿宋_GB2312" w:cs="仿宋_GB2312" w:eastAsia="仿宋_GB2312"/>
              </w:rPr>
              <w:t>22.反应杯清洗方式：反应杯可自动清洗并可重复使用,并保证无污染。</w:t>
            </w:r>
          </w:p>
          <w:p>
            <w:pPr>
              <w:pStyle w:val="null3"/>
            </w:pPr>
            <w:r>
              <w:rPr>
                <w:rFonts w:ascii="仿宋_GB2312" w:hAnsi="仿宋_GB2312" w:cs="仿宋_GB2312" w:eastAsia="仿宋_GB2312"/>
              </w:rPr>
              <w:t>23.▲血液分析仪可与特定蛋白分析仪联机使用。</w:t>
            </w:r>
          </w:p>
          <w:p>
            <w:pPr>
              <w:pStyle w:val="null3"/>
            </w:pPr>
            <w:r>
              <w:rPr>
                <w:rFonts w:ascii="仿宋_GB2312" w:hAnsi="仿宋_GB2312" w:cs="仿宋_GB2312" w:eastAsia="仿宋_GB2312"/>
              </w:rPr>
              <w:t>24.不间断电源：1台，与产品功率相匹配（1500W），续航能力≥30分钟。</w:t>
            </w:r>
          </w:p>
          <w:p>
            <w:pPr>
              <w:pStyle w:val="null3"/>
            </w:pPr>
            <w:r>
              <w:rPr>
                <w:rFonts w:ascii="仿宋_GB2312" w:hAnsi="仿宋_GB2312" w:cs="仿宋_GB2312" w:eastAsia="仿宋_GB2312"/>
              </w:rPr>
              <w:t>（三）流水线技术：</w:t>
            </w:r>
          </w:p>
          <w:p>
            <w:pPr>
              <w:pStyle w:val="null3"/>
            </w:pPr>
            <w:r>
              <w:rPr>
                <w:rFonts w:ascii="仿宋_GB2312" w:hAnsi="仿宋_GB2312" w:cs="仿宋_GB2312" w:eastAsia="仿宋_GB2312"/>
              </w:rPr>
              <w:t>具备血液分析仪和特定蛋白分析仪匹配的联机使用流水线。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二、全自动血液分析</w:t>
            </w:r>
          </w:p>
          <w:p>
            <w:pPr>
              <w:pStyle w:val="null3"/>
            </w:pPr>
            <w:r>
              <w:rPr>
                <w:rFonts w:ascii="仿宋_GB2312" w:hAnsi="仿宋_GB2312" w:cs="仿宋_GB2312" w:eastAsia="仿宋_GB2312"/>
              </w:rPr>
              <w:t>1、检测速度：CBC+DIFF≥70/小时</w:t>
            </w:r>
          </w:p>
          <w:p>
            <w:pPr>
              <w:pStyle w:val="null3"/>
            </w:pPr>
            <w:r>
              <w:rPr>
                <w:rFonts w:ascii="仿宋_GB2312" w:hAnsi="仿宋_GB2312" w:cs="仿宋_GB2312" w:eastAsia="仿宋_GB2312"/>
              </w:rPr>
              <w:t>2、检测参数：血液报告参数≥24个</w:t>
            </w:r>
          </w:p>
          <w:p>
            <w:pPr>
              <w:pStyle w:val="null3"/>
            </w:pPr>
            <w:r>
              <w:rPr>
                <w:rFonts w:ascii="仿宋_GB2312" w:hAnsi="仿宋_GB2312" w:cs="仿宋_GB2312" w:eastAsia="仿宋_GB2312"/>
              </w:rPr>
              <w:t>3、▲用血量：支持末梢血样本检测，静脉血和末梢血均可自动或者手动进样，全血进样量≤25ul；预稀释模式用血量≤20ul，进样量≤70ul；</w:t>
            </w:r>
          </w:p>
          <w:p>
            <w:pPr>
              <w:pStyle w:val="null3"/>
            </w:pPr>
            <w:r>
              <w:rPr>
                <w:rFonts w:ascii="仿宋_GB2312" w:hAnsi="仿宋_GB2312" w:cs="仿宋_GB2312" w:eastAsia="仿宋_GB2312"/>
              </w:rPr>
              <w:t>4、白细胞计数：采用激光流式原理及核酸荧光染色技术，使白细胞计数免受难溶红细胞、巨大血小板、血小板簇及细胞碎片等的干扰</w:t>
            </w:r>
          </w:p>
          <w:p>
            <w:pPr>
              <w:pStyle w:val="null3"/>
            </w:pPr>
            <w:r>
              <w:rPr>
                <w:rFonts w:ascii="仿宋_GB2312" w:hAnsi="仿宋_GB2312" w:cs="仿宋_GB2312" w:eastAsia="仿宋_GB2312"/>
              </w:rPr>
              <w:t>5、低值白细胞检测：当遇到低值白细胞样本时，仪器可自动或人工选择转换到低值白细胞检测模式。</w:t>
            </w:r>
          </w:p>
          <w:p>
            <w:pPr>
              <w:pStyle w:val="null3"/>
            </w:pPr>
            <w:r>
              <w:rPr>
                <w:rFonts w:ascii="仿宋_GB2312" w:hAnsi="仿宋_GB2312" w:cs="仿宋_GB2312" w:eastAsia="仿宋_GB2312"/>
              </w:rPr>
              <w:t>6、体液检测速度：≥30样本/小时，对脑脊液、胸水、腹水、关节腔积液等体液进行红细胞和白细胞计数,并对白细胞进行分类</w:t>
            </w:r>
          </w:p>
          <w:p>
            <w:pPr>
              <w:pStyle w:val="null3"/>
            </w:pPr>
            <w:r>
              <w:rPr>
                <w:rFonts w:ascii="仿宋_GB2312" w:hAnsi="仿宋_GB2312" w:cs="仿宋_GB2312" w:eastAsia="仿宋_GB2312"/>
              </w:rPr>
              <w:t>7、体液检测中具有通过高荧光体液细胞参数对肿瘤细胞进行提示功能</w:t>
            </w:r>
          </w:p>
          <w:p>
            <w:pPr>
              <w:pStyle w:val="null3"/>
            </w:pPr>
            <w:r>
              <w:rPr>
                <w:rFonts w:ascii="仿宋_GB2312" w:hAnsi="仿宋_GB2312" w:cs="仿宋_GB2312" w:eastAsia="仿宋_GB2312"/>
              </w:rPr>
              <w:t>8、线性范围：全血检测要满足WBC：0-440×10^9/L；RBC：0－8.6×10^12/L；PLT：0-5000×10^9/L</w:t>
            </w:r>
          </w:p>
          <w:p>
            <w:pPr>
              <w:pStyle w:val="null3"/>
            </w:pPr>
            <w:r>
              <w:rPr>
                <w:rFonts w:ascii="仿宋_GB2312" w:hAnsi="仿宋_GB2312" w:cs="仿宋_GB2312" w:eastAsia="仿宋_GB2312"/>
              </w:rPr>
              <w:t>9、▲质控品：提供原厂配套的NMPA注册的质控物，能提供原厂配套的经NMPA注册的体液质控品。</w:t>
            </w:r>
          </w:p>
          <w:p>
            <w:pPr>
              <w:pStyle w:val="null3"/>
            </w:pPr>
            <w:r>
              <w:rPr>
                <w:rFonts w:ascii="仿宋_GB2312" w:hAnsi="仿宋_GB2312" w:cs="仿宋_GB2312" w:eastAsia="仿宋_GB2312"/>
              </w:rPr>
              <w:t>10、▲校准品：定期提供原厂配套的校准品，一只校准品可提供多个校准项目包含RBC、WBC、HGB、PLT、HCT、MCV、RET、PLT-O。避免重复校准造成试剂浪费。</w:t>
            </w:r>
          </w:p>
          <w:p>
            <w:pPr>
              <w:pStyle w:val="null3"/>
            </w:pPr>
            <w:r>
              <w:rPr>
                <w:rFonts w:ascii="仿宋_GB2312" w:hAnsi="仿宋_GB2312" w:cs="仿宋_GB2312" w:eastAsia="仿宋_GB2312"/>
              </w:rPr>
              <w:t>11、▲试剂品牌2024年卫生部室间质评数据:白细胞计数参与实验室数量≥160家(以全血细胞计数组标本编号202411数据为参照)。</w:t>
            </w:r>
          </w:p>
          <w:p>
            <w:pPr>
              <w:pStyle w:val="null3"/>
            </w:pPr>
            <w:r>
              <w:rPr>
                <w:rFonts w:ascii="仿宋_GB2312" w:hAnsi="仿宋_GB2312" w:cs="仿宋_GB2312" w:eastAsia="仿宋_GB2312"/>
              </w:rPr>
              <w:t>12、不间断电源：1台，与产品功率相匹配（1500W），续航能力≥30分钟。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三、全自动细菌培养检测系统</w:t>
            </w:r>
          </w:p>
          <w:p>
            <w:pPr>
              <w:pStyle w:val="null3"/>
            </w:pPr>
            <w:r>
              <w:rPr>
                <w:rFonts w:ascii="仿宋_GB2312" w:hAnsi="仿宋_GB2312" w:cs="仿宋_GB2312" w:eastAsia="仿宋_GB2312"/>
              </w:rPr>
              <w:t>1 临床应用范围</w:t>
            </w:r>
          </w:p>
          <w:p>
            <w:pPr>
              <w:pStyle w:val="null3"/>
            </w:pPr>
            <w:r>
              <w:rPr>
                <w:rFonts w:ascii="仿宋_GB2312" w:hAnsi="仿宋_GB2312" w:cs="仿宋_GB2312" w:eastAsia="仿宋_GB2312"/>
              </w:rPr>
              <w:t>1.1 ▲全自动细菌检测系统，具备对血液、无菌体液进行细菌和真菌的培养监测。</w:t>
            </w:r>
          </w:p>
          <w:p>
            <w:pPr>
              <w:pStyle w:val="null3"/>
            </w:pPr>
            <w:r>
              <w:rPr>
                <w:rFonts w:ascii="仿宋_GB2312" w:hAnsi="仿宋_GB2312" w:cs="仿宋_GB2312" w:eastAsia="仿宋_GB2312"/>
              </w:rPr>
              <w:t>1.2 ▲判读原理：细菌新陈代谢产生CO2，瓶底胶乳感应器产生不可逆颜色改变，有连续加速度法、速率法、起始阀值法三种判读方式。</w:t>
            </w:r>
          </w:p>
          <w:p>
            <w:pPr>
              <w:pStyle w:val="null3"/>
            </w:pPr>
            <w:r>
              <w:rPr>
                <w:rFonts w:ascii="仿宋_GB2312" w:hAnsi="仿宋_GB2312" w:cs="仿宋_GB2312" w:eastAsia="仿宋_GB2312"/>
              </w:rPr>
              <w:t>2 读出器/培养箱单元</w:t>
            </w:r>
          </w:p>
          <w:p>
            <w:pPr>
              <w:pStyle w:val="null3"/>
            </w:pPr>
            <w:r>
              <w:rPr>
                <w:rFonts w:ascii="仿宋_GB2312" w:hAnsi="仿宋_GB2312" w:cs="仿宋_GB2312" w:eastAsia="仿宋_GB2312"/>
              </w:rPr>
              <w:t>2.1 ▲系统可同时处理≥110瓶</w:t>
            </w:r>
          </w:p>
          <w:p>
            <w:pPr>
              <w:pStyle w:val="null3"/>
            </w:pPr>
            <w:r>
              <w:rPr>
                <w:rFonts w:ascii="仿宋_GB2312" w:hAnsi="仿宋_GB2312" w:cs="仿宋_GB2312" w:eastAsia="仿宋_GB2312"/>
              </w:rPr>
              <w:t>2.2 ▲培养箱分成2个抽屉，每个抽屉可放不少于55个培养瓶。每个抽屉可独立运行。</w:t>
            </w:r>
          </w:p>
          <w:p>
            <w:pPr>
              <w:pStyle w:val="null3"/>
            </w:pPr>
            <w:r>
              <w:rPr>
                <w:rFonts w:ascii="仿宋_GB2312" w:hAnsi="仿宋_GB2312" w:cs="仿宋_GB2312" w:eastAsia="仿宋_GB2312"/>
              </w:rPr>
              <w:t>2.3 培养箱的每个孔都应有独立光学检测器来读取每个培养瓶的读数。</w:t>
            </w:r>
          </w:p>
          <w:p>
            <w:pPr>
              <w:pStyle w:val="null3"/>
            </w:pPr>
            <w:r>
              <w:rPr>
                <w:rFonts w:ascii="仿宋_GB2312" w:hAnsi="仿宋_GB2312" w:cs="仿宋_GB2312" w:eastAsia="仿宋_GB2312"/>
              </w:rPr>
              <w:t>2.4 检测仪可自动完成定标校准，在保证判断结果准确的前提下，无需设置对照培养管。</w:t>
            </w:r>
          </w:p>
          <w:p>
            <w:pPr>
              <w:pStyle w:val="null3"/>
            </w:pPr>
            <w:r>
              <w:rPr>
                <w:rFonts w:ascii="仿宋_GB2312" w:hAnsi="仿宋_GB2312" w:cs="仿宋_GB2312" w:eastAsia="仿宋_GB2312"/>
              </w:rPr>
              <w:t>2.5  每个培养位置有感应器，能检测培养瓶的进入与离开。</w:t>
            </w:r>
          </w:p>
          <w:p>
            <w:pPr>
              <w:pStyle w:val="null3"/>
            </w:pPr>
            <w:r>
              <w:rPr>
                <w:rFonts w:ascii="仿宋_GB2312" w:hAnsi="仿宋_GB2312" w:cs="仿宋_GB2312" w:eastAsia="仿宋_GB2312"/>
              </w:rPr>
              <w:t>2.6 系统具备容量扩充能力，可在不影响原仪器正常操作之下增加血培养箱体，可以拓展至770个瓶位。</w:t>
            </w:r>
          </w:p>
          <w:p>
            <w:pPr>
              <w:pStyle w:val="null3"/>
            </w:pPr>
            <w:r>
              <w:rPr>
                <w:rFonts w:ascii="仿宋_GB2312" w:hAnsi="仿宋_GB2312" w:cs="仿宋_GB2312" w:eastAsia="仿宋_GB2312"/>
              </w:rPr>
              <w:t>2.7 每一培养瓶测试槽底部都有一组反射侦测器，每十分钟自动连续侦测一次。</w:t>
            </w:r>
          </w:p>
          <w:p>
            <w:pPr>
              <w:pStyle w:val="null3"/>
            </w:pPr>
            <w:r>
              <w:rPr>
                <w:rFonts w:ascii="仿宋_GB2312" w:hAnsi="仿宋_GB2312" w:cs="仿宋_GB2312" w:eastAsia="仿宋_GB2312"/>
              </w:rPr>
              <w:t>3 软件应用</w:t>
            </w:r>
          </w:p>
          <w:p>
            <w:pPr>
              <w:pStyle w:val="null3"/>
            </w:pPr>
            <w:r>
              <w:rPr>
                <w:rFonts w:ascii="仿宋_GB2312" w:hAnsi="仿宋_GB2312" w:cs="仿宋_GB2312" w:eastAsia="仿宋_GB2312"/>
              </w:rPr>
              <w:t>3.1 检测仪配置条码扫描仪，培养系统可自动识别及判读结果并加以显示，能自动将结果存入数据库。</w:t>
            </w:r>
          </w:p>
          <w:p>
            <w:pPr>
              <w:pStyle w:val="null3"/>
            </w:pPr>
            <w:r>
              <w:rPr>
                <w:rFonts w:ascii="仿宋_GB2312" w:hAnsi="仿宋_GB2312" w:cs="仿宋_GB2312" w:eastAsia="仿宋_GB2312"/>
              </w:rPr>
              <w:t>3.2 可独立设定某瓶位的最长孵育天数。</w:t>
            </w:r>
          </w:p>
          <w:p>
            <w:pPr>
              <w:pStyle w:val="null3"/>
            </w:pPr>
            <w:r>
              <w:rPr>
                <w:rFonts w:ascii="仿宋_GB2312" w:hAnsi="仿宋_GB2312" w:cs="仿宋_GB2312" w:eastAsia="仿宋_GB2312"/>
              </w:rPr>
              <w:t>3.3 ▲读出器/培养箱具有内置高容量躯动器用来储存病人数据及报告，可储存培养瓶资料及生长曲线并随时查询与打印；</w:t>
            </w:r>
          </w:p>
          <w:p>
            <w:pPr>
              <w:pStyle w:val="null3"/>
            </w:pPr>
            <w:r>
              <w:rPr>
                <w:rFonts w:ascii="仿宋_GB2312" w:hAnsi="仿宋_GB2312" w:cs="仿宋_GB2312" w:eastAsia="仿宋_GB2312"/>
              </w:rPr>
              <w:t>3.4 ▲每组培养箱的温度应可在30°-45°C范围内调校，来针对适合临床或环境细菌所需要的生长温度。</w:t>
            </w:r>
          </w:p>
          <w:p>
            <w:pPr>
              <w:pStyle w:val="null3"/>
            </w:pPr>
            <w:r>
              <w:rPr>
                <w:rFonts w:ascii="仿宋_GB2312" w:hAnsi="仿宋_GB2312" w:cs="仿宋_GB2312" w:eastAsia="仿宋_GB2312"/>
              </w:rPr>
              <w:t>3.5 视窗式操作软件及大屏幕显示。</w:t>
            </w:r>
          </w:p>
          <w:p>
            <w:pPr>
              <w:pStyle w:val="null3"/>
            </w:pPr>
            <w:r>
              <w:rPr>
                <w:rFonts w:ascii="仿宋_GB2312" w:hAnsi="仿宋_GB2312" w:cs="仿宋_GB2312" w:eastAsia="仿宋_GB2312"/>
              </w:rPr>
              <w:t>3.6 可显示或打印“阳性瓶取出报告”“阴性瓶取出报告”“目前培养瓶状态报告”。</w:t>
            </w:r>
          </w:p>
          <w:p>
            <w:pPr>
              <w:pStyle w:val="null3"/>
            </w:pPr>
            <w:r>
              <w:rPr>
                <w:rFonts w:ascii="仿宋_GB2312" w:hAnsi="仿宋_GB2312" w:cs="仿宋_GB2312" w:eastAsia="仿宋_GB2312"/>
              </w:rPr>
              <w:t>3.7 具有延迟培养功能，当培养瓶采集标本之后无法及时置入机器时，检测结果不受影响。</w:t>
            </w:r>
          </w:p>
          <w:p>
            <w:pPr>
              <w:pStyle w:val="null3"/>
            </w:pPr>
            <w:r>
              <w:rPr>
                <w:rFonts w:ascii="仿宋_GB2312" w:hAnsi="仿宋_GB2312" w:cs="仿宋_GB2312" w:eastAsia="仿宋_GB2312"/>
              </w:rPr>
              <w:t>3.8 仪器在不借助外部软件，自身须具备与医院LIS双向连线能力</w:t>
            </w:r>
          </w:p>
          <w:p>
            <w:pPr>
              <w:pStyle w:val="null3"/>
            </w:pPr>
            <w:r>
              <w:rPr>
                <w:rFonts w:ascii="仿宋_GB2312" w:hAnsi="仿宋_GB2312" w:cs="仿宋_GB2312" w:eastAsia="仿宋_GB2312"/>
              </w:rPr>
              <w:t>4 培养瓶</w:t>
            </w:r>
          </w:p>
          <w:p>
            <w:pPr>
              <w:pStyle w:val="null3"/>
            </w:pPr>
            <w:r>
              <w:rPr>
                <w:rFonts w:ascii="仿宋_GB2312" w:hAnsi="仿宋_GB2312" w:cs="仿宋_GB2312" w:eastAsia="仿宋_GB2312"/>
              </w:rPr>
              <w:t>4.1 ▲提供配套中和抗生素成人需氧培养瓶、中和抗生素成人厌氧培养瓶、中和抗生素儿童培养瓶、标准成人需氧培养瓶、标准成人厌氧培养瓶。</w:t>
            </w:r>
          </w:p>
          <w:p>
            <w:pPr>
              <w:pStyle w:val="null3"/>
            </w:pPr>
            <w:r>
              <w:rPr>
                <w:rFonts w:ascii="仿宋_GB2312" w:hAnsi="仿宋_GB2312" w:cs="仿宋_GB2312" w:eastAsia="仿宋_GB2312"/>
              </w:rPr>
              <w:t>4.2  不间断电源：1台，与产品功率相匹配（1500W），续航能力≥30分钟。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四、医用冷藏冰箱</w:t>
            </w:r>
          </w:p>
          <w:p>
            <w:pPr>
              <w:pStyle w:val="null3"/>
            </w:pPr>
            <w:r>
              <w:rPr>
                <w:rFonts w:ascii="仿宋_GB2312" w:hAnsi="仿宋_GB2312" w:cs="仿宋_GB2312" w:eastAsia="仿宋_GB2312"/>
              </w:rPr>
              <w:t>1.有效容积600-700L；</w:t>
            </w:r>
          </w:p>
          <w:p>
            <w:pPr>
              <w:pStyle w:val="null3"/>
            </w:pPr>
            <w:r>
              <w:rPr>
                <w:rFonts w:ascii="仿宋_GB2312" w:hAnsi="仿宋_GB2312" w:cs="仿宋_GB2312" w:eastAsia="仿宋_GB2312"/>
              </w:rPr>
              <w:t>2.尺寸：由于部分科室门体较矮，产品高度小于等于1900mm；</w:t>
            </w:r>
          </w:p>
          <w:p>
            <w:pPr>
              <w:pStyle w:val="null3"/>
            </w:pPr>
            <w:r>
              <w:rPr>
                <w:rFonts w:ascii="仿宋_GB2312" w:hAnsi="仿宋_GB2312" w:cs="仿宋_GB2312" w:eastAsia="仿宋_GB2312"/>
              </w:rPr>
              <w:t>3.立式对开门，2~8℃；</w:t>
            </w:r>
          </w:p>
          <w:p>
            <w:pPr>
              <w:pStyle w:val="null3"/>
            </w:pPr>
            <w:r>
              <w:rPr>
                <w:rFonts w:ascii="仿宋_GB2312" w:hAnsi="仿宋_GB2312" w:cs="仿宋_GB2312" w:eastAsia="仿宋_GB2312"/>
              </w:rPr>
              <w:t>4.外部材料：喷涂钢板，内部材料：喷涂钢板</w:t>
            </w:r>
          </w:p>
          <w:p>
            <w:pPr>
              <w:pStyle w:val="null3"/>
            </w:pPr>
            <w:r>
              <w:rPr>
                <w:rFonts w:ascii="仿宋_GB2312" w:hAnsi="仿宋_GB2312" w:cs="仿宋_GB2312" w:eastAsia="仿宋_GB2312"/>
              </w:rPr>
              <w:t>5.纯风冷设计</w:t>
            </w:r>
          </w:p>
          <w:p>
            <w:pPr>
              <w:pStyle w:val="null3"/>
            </w:pPr>
            <w:r>
              <w:rPr>
                <w:rFonts w:ascii="仿宋_GB2312" w:hAnsi="仿宋_GB2312" w:cs="仿宋_GB2312" w:eastAsia="仿宋_GB2312"/>
              </w:rPr>
              <w:t>6.温度控制：微电脑控制系统，LED数码显示温度数据及各种报警信息，温度控制及显示精度达到0.1℃。</w:t>
            </w:r>
          </w:p>
          <w:p>
            <w:pPr>
              <w:pStyle w:val="null3"/>
            </w:pPr>
            <w:r>
              <w:rPr>
                <w:rFonts w:ascii="仿宋_GB2312" w:hAnsi="仿宋_GB2312" w:cs="仿宋_GB2312" w:eastAsia="仿宋_GB2312"/>
              </w:rPr>
              <w:t>7.报警系统：高低温报警、温控器故障报警、断电报警、开关门异常报警；须具有备用电池，确保断电后报警时间不小于48小时；报警方式：至少具备声音蜂鸣和灯光闪烁的报警方式。</w:t>
            </w:r>
          </w:p>
          <w:p>
            <w:pPr>
              <w:pStyle w:val="null3"/>
            </w:pPr>
            <w:r>
              <w:rPr>
                <w:rFonts w:ascii="仿宋_GB2312" w:hAnsi="仿宋_GB2312" w:cs="仿宋_GB2312" w:eastAsia="仿宋_GB2312"/>
              </w:rPr>
              <w:t>8.门锁配置：采用标配双内锁结构，不接受外挂挂锁结构。</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设备名称</w:t>
                  </w:r>
                </w:p>
              </w:tc>
              <w:tc>
                <w:tcPr>
                  <w:tcW w:type="dxa" w:w="851"/>
                </w:tcPr>
                <w:p>
                  <w:pPr>
                    <w:pStyle w:val="null3"/>
                    <w:jc w:val="center"/>
                  </w:pPr>
                  <w:r>
                    <w:rPr>
                      <w:rFonts w:ascii="仿宋_GB2312" w:hAnsi="仿宋_GB2312" w:cs="仿宋_GB2312" w:eastAsia="仿宋_GB2312"/>
                    </w:rPr>
                    <w:t>数量</w:t>
                  </w:r>
                </w:p>
              </w:tc>
              <w:tc>
                <w:tcPr>
                  <w:tcW w:type="dxa" w:w="851"/>
                </w:tcPr>
                <w:p>
                  <w:pPr>
                    <w:pStyle w:val="null3"/>
                    <w:jc w:val="center"/>
                  </w:pPr>
                  <w:r>
                    <w:rPr>
                      <w:rFonts w:ascii="仿宋_GB2312" w:hAnsi="仿宋_GB2312" w:cs="仿宋_GB2312" w:eastAsia="仿宋_GB2312"/>
                    </w:rPr>
                    <w:t>单位</w:t>
                  </w:r>
                </w:p>
              </w:tc>
            </w:tr>
            <w:tr>
              <w:tc>
                <w:tcPr>
                  <w:tcW w:type="dxa" w:w="851"/>
                </w:tcPr>
                <w:p>
                  <w:pPr>
                    <w:pStyle w:val="null3"/>
                    <w:jc w:val="center"/>
                  </w:pPr>
                  <w:r>
                    <w:rPr>
                      <w:rFonts w:ascii="仿宋_GB2312" w:hAnsi="仿宋_GB2312" w:cs="仿宋_GB2312" w:eastAsia="仿宋_GB2312"/>
                    </w:rPr>
                    <w:t>全自动血液分析仪流水线</w:t>
                  </w:r>
                </w:p>
              </w:tc>
              <w:tc>
                <w:tcPr>
                  <w:tcW w:type="dxa" w:w="851"/>
                </w:tcPr>
                <w:p>
                  <w:pPr>
                    <w:pStyle w:val="null3"/>
                    <w:jc w:val="center"/>
                  </w:pPr>
                  <w:r>
                    <w:rPr>
                      <w:rFonts w:ascii="仿宋_GB2312" w:hAnsi="仿宋_GB2312" w:cs="仿宋_GB2312" w:eastAsia="仿宋_GB2312"/>
                    </w:rPr>
                    <w:t>1</w:t>
                  </w:r>
                </w:p>
              </w:tc>
              <w:tc>
                <w:tcPr>
                  <w:tcW w:type="dxa" w:w="851"/>
                </w:tcPr>
                <w:p>
                  <w:pPr>
                    <w:pStyle w:val="null3"/>
                    <w:jc w:val="center"/>
                  </w:pPr>
                  <w:r>
                    <w:rPr>
                      <w:rFonts w:ascii="仿宋_GB2312" w:hAnsi="仿宋_GB2312" w:cs="仿宋_GB2312" w:eastAsia="仿宋_GB2312"/>
                    </w:rPr>
                    <w:t>套</w:t>
                  </w:r>
                </w:p>
              </w:tc>
            </w:tr>
            <w:tr>
              <w:tc>
                <w:tcPr>
                  <w:tcW w:type="dxa" w:w="851"/>
                </w:tcPr>
                <w:p>
                  <w:pPr>
                    <w:pStyle w:val="null3"/>
                    <w:jc w:val="center"/>
                  </w:pPr>
                  <w:r>
                    <w:rPr>
                      <w:rFonts w:ascii="仿宋_GB2312" w:hAnsi="仿宋_GB2312" w:cs="仿宋_GB2312" w:eastAsia="仿宋_GB2312"/>
                    </w:rPr>
                    <w:t>全自动血液分析仪</w:t>
                  </w:r>
                </w:p>
              </w:tc>
              <w:tc>
                <w:tcPr>
                  <w:tcW w:type="dxa" w:w="851"/>
                </w:tcPr>
                <w:p>
                  <w:pPr>
                    <w:pStyle w:val="null3"/>
                    <w:jc w:val="center"/>
                  </w:pPr>
                  <w:r>
                    <w:rPr>
                      <w:rFonts w:ascii="仿宋_GB2312" w:hAnsi="仿宋_GB2312" w:cs="仿宋_GB2312" w:eastAsia="仿宋_GB2312"/>
                    </w:rPr>
                    <w:t>1</w:t>
                  </w:r>
                </w:p>
              </w:tc>
              <w:tc>
                <w:tcPr>
                  <w:tcW w:type="dxa" w:w="851"/>
                </w:tcPr>
                <w:p>
                  <w:pPr>
                    <w:pStyle w:val="null3"/>
                    <w:jc w:val="center"/>
                  </w:pPr>
                  <w:r>
                    <w:rPr>
                      <w:rFonts w:ascii="仿宋_GB2312" w:hAnsi="仿宋_GB2312" w:cs="仿宋_GB2312" w:eastAsia="仿宋_GB2312"/>
                    </w:rPr>
                    <w:t>台</w:t>
                  </w:r>
                </w:p>
              </w:tc>
            </w:tr>
            <w:tr>
              <w:tc>
                <w:tcPr>
                  <w:tcW w:type="dxa" w:w="851"/>
                </w:tcPr>
                <w:p>
                  <w:pPr>
                    <w:pStyle w:val="null3"/>
                    <w:jc w:val="center"/>
                  </w:pPr>
                  <w:r>
                    <w:rPr>
                      <w:rFonts w:ascii="仿宋_GB2312" w:hAnsi="仿宋_GB2312" w:cs="仿宋_GB2312" w:eastAsia="仿宋_GB2312"/>
                    </w:rPr>
                    <w:t>全自动细菌培养检测系统</w:t>
                  </w:r>
                </w:p>
              </w:tc>
              <w:tc>
                <w:tcPr>
                  <w:tcW w:type="dxa" w:w="851"/>
                </w:tcPr>
                <w:p>
                  <w:pPr>
                    <w:pStyle w:val="null3"/>
                    <w:jc w:val="center"/>
                  </w:pPr>
                  <w:r>
                    <w:rPr>
                      <w:rFonts w:ascii="仿宋_GB2312" w:hAnsi="仿宋_GB2312" w:cs="仿宋_GB2312" w:eastAsia="仿宋_GB2312"/>
                    </w:rPr>
                    <w:t>1</w:t>
                  </w:r>
                </w:p>
              </w:tc>
              <w:tc>
                <w:tcPr>
                  <w:tcW w:type="dxa" w:w="851"/>
                </w:tcPr>
                <w:p>
                  <w:pPr>
                    <w:pStyle w:val="null3"/>
                    <w:jc w:val="center"/>
                  </w:pPr>
                  <w:r>
                    <w:rPr>
                      <w:rFonts w:ascii="仿宋_GB2312" w:hAnsi="仿宋_GB2312" w:cs="仿宋_GB2312" w:eastAsia="仿宋_GB2312"/>
                    </w:rPr>
                    <w:t>台</w:t>
                  </w:r>
                </w:p>
              </w:tc>
            </w:tr>
            <w:tr>
              <w:tc>
                <w:tcPr>
                  <w:tcW w:type="dxa" w:w="851"/>
                </w:tcPr>
                <w:p>
                  <w:pPr>
                    <w:pStyle w:val="null3"/>
                    <w:jc w:val="center"/>
                  </w:pPr>
                  <w:r>
                    <w:rPr>
                      <w:rFonts w:ascii="仿宋_GB2312" w:hAnsi="仿宋_GB2312" w:cs="仿宋_GB2312" w:eastAsia="仿宋_GB2312"/>
                    </w:rPr>
                    <w:t>医用冷藏冰箱</w:t>
                  </w:r>
                </w:p>
              </w:tc>
              <w:tc>
                <w:tcPr>
                  <w:tcW w:type="dxa" w:w="851"/>
                </w:tcPr>
                <w:p>
                  <w:pPr>
                    <w:pStyle w:val="null3"/>
                    <w:jc w:val="center"/>
                  </w:pPr>
                  <w:r>
                    <w:rPr>
                      <w:rFonts w:ascii="仿宋_GB2312" w:hAnsi="仿宋_GB2312" w:cs="仿宋_GB2312" w:eastAsia="仿宋_GB2312"/>
                    </w:rPr>
                    <w:t>3</w:t>
                  </w:r>
                </w:p>
              </w:tc>
              <w:tc>
                <w:tcPr>
                  <w:tcW w:type="dxa" w:w="851"/>
                </w:tcPr>
                <w:p>
                  <w:pPr>
                    <w:pStyle w:val="null3"/>
                    <w:jc w:val="center"/>
                  </w:pPr>
                  <w:r>
                    <w:rPr>
                      <w:rFonts w:ascii="仿宋_GB2312" w:hAnsi="仿宋_GB2312" w:cs="仿宋_GB2312" w:eastAsia="仿宋_GB2312"/>
                    </w:rPr>
                    <w:t>台</w:t>
                  </w:r>
                </w:p>
              </w:tc>
            </w:tr>
            <w:tr>
              <w:tc>
                <w:tcPr>
                  <w:tcW w:type="dxa" w:w="851"/>
                </w:tcPr>
                <w:p>
                  <w:pPr>
                    <w:pStyle w:val="null3"/>
                    <w:jc w:val="center"/>
                  </w:pPr>
                  <w:r>
                    <w:rPr>
                      <w:rFonts w:ascii="仿宋_GB2312" w:hAnsi="仿宋_GB2312" w:cs="仿宋_GB2312" w:eastAsia="仿宋_GB2312"/>
                    </w:rPr>
                    <w:t>合计</w:t>
                  </w:r>
                </w:p>
              </w:tc>
              <w:tc>
                <w:tcPr>
                  <w:tcW w:type="dxa" w:w="851"/>
                </w:tcPr>
                <w:p>
                  <w:pPr>
                    <w:pStyle w:val="null3"/>
                    <w:jc w:val="center"/>
                  </w:pPr>
                  <w:r>
                    <w:rPr>
                      <w:rFonts w:ascii="仿宋_GB2312" w:hAnsi="仿宋_GB2312" w:cs="仿宋_GB2312" w:eastAsia="仿宋_GB2312"/>
                    </w:rPr>
                    <w:t>6</w:t>
                  </w:r>
                </w:p>
              </w:tc>
              <w:tc>
                <w:tcPr>
                  <w:tcW w:type="dxa" w:w="851"/>
                </w:tcPr>
                <w:p>
                  <w:pPr>
                    <w:pStyle w:val="null3"/>
                    <w:jc w:val="center"/>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 xml:space="preserve"> 本项目核心产品：全自动血液分析仪流水线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货物运至采购人指定地点安装调试完成并验收合格后一年内,向供应商支付全部合同总价款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 （1）所供产品的规格、数量符合采购文件供应商投标承诺及采购合同约定的要求。 （2）所有产品均已运输至指定地点存放，运费由供应商承担。 （3）由采购人和供应商共同对进行验收。其内容包括产品质量是否达到现行国家有关验收规范“合格”标准进行逐项检查。 （4）所有产品使用包装完好、全新的合格产品，不得使用积压材料。 （5）生产厂家的企业资质、检验报告、货物的执行标准。 2、验收不合格的，必须在接到通知后7个日历日内确保货物通过验收。如接到通知后7个日历日内验收仍不合格，采购人可提出索赔或取消其供货合同。采购代理机构将把成交资格授予评审排序下一名的成交单位。 3、验收依据 （1）合同文本及合同补充文件（条款）； （2）产品的合法来源渠道证明文件、响应功能证明材料； （3）招标文件； （4）中标人的投标文件； （5）货物清单； （6）生产厂家的企业资质、货物的执行标准。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所有产品以验收合格之日为质保起始日期，售后质保期1年，质保期不得低于产品原有质保天数。质保期内，设备或配件出现问题后，乙方24小时内必须到达现场解决问题，保证设备完好运行。 质保期内出现的质量问题由乙方负责解决并承担所有费用；质保期后出现问题，乙方以优惠的价格提供。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1、根据《政府采购法实施条例》释义，银行、保险、石油石化、电力、电信等有行业特殊情况的，允许法人的分支机构参加政府采购活动。 2、中标（成交）供应商在中标结果公告发布后3个工作日内提供三套纸质投标文件（经编标工具生成的文件直接打印并加盖公章），递交的纸质版文件内容确保与线上电子文件保持一致，不允许修改和补充。 3、该项目非专门面向中小企业采购，采购标的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供应商应须具有独立承担民事责任的能力的证明材料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2024年度或2025年度财务审计报告（成立时间至投标文件递交截止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③社会保障资金缴纳证明：提供投标文件递交截止时间前一年内任意一个月的社保缴费凭据或社保机构开具的社会保险参保缴费情况证明（依法不需要缴纳社会保障资金的供应商应提供相关证明）；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可根据本招标文件格式要求出具承诺函，中标供应商的承诺函同中标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投标人为代理商的须提供有效的《医疗器械经营许可证》（或医疗器械经营备案凭证）和生产厂家的《医疗器械生产许可证》（或医疗器械生产备案凭证）复印件和所投产品的《医疗器械产品注册证》（或《医疗器械产品备案凭证》）复印件；投标人为制造厂家应出具《医疗器械经营许可证》（或医疗器械经营备案凭证）及《医疗器械生产许可证》（或医疗器械生产备案凭证）和所投产品《医疗器械产品注册证》（或《医疗器械产品备案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法定代表人参与投标时需提供法定代表人身份证明书（附法定代表人身份证复印件）；被授权人参与投标时需提供法定代表人身份证明书和法定代表人授权委托书（附法定代表人及被授权人身份证复印件）；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技术方案.docx 中小企业声明函 商务应答表 政府采购供应商拒绝政府采购领域商业贿赂承诺书.docx 产品技术参数表 分项报价表.docx 投标函 残疾人福利性单位声明函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开标一览表 技术方案.docx 中小企业声明函 商务应答表 政府采购供应商拒绝政府采购领域商业贿赂承诺书.docx 产品技术参数表 分项报价表.docx 投标函 残疾人福利性单位声明函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技术方案.docx 中小企业声明函 商务应答表 政府采购供应商拒绝政府采购领域商业贿赂承诺书.docx 产品技术参数表 分项报价表.docx 投标函 残疾人福利性单位声明函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应满足招标文件中要求的供货期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依据各投标供应商主要技术指标、参数、性能等情况综合评分，并能提供生产厂家出具的、响应的功能证明材料（包括但不限于检测报告、官网和功能截图、彩页、说明书等相关资料，并在技术偏离表 “说明”栏中标明页码，未提供视为负偏离），其他产品提供产品彩页，官网参数截图等相关资料。 （1）“▲”项参数满分13.5分，每负偏离一项扣0.75分，扣完为止； （2）非“▲”号项参数满分11.5分，每负偏离一项扣0.25分，扣完为止； 无有效证明材料或响应数据与证明材料不符的视为负偏离。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一、评审内容（3分/项）投标人根据本项目特点，提供项目实施方案。包含不限于：①项目进度安排；②设备运输、安装及调试组织措施；③应急处理措施；④项目团队配备及岗位职责；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一、评审内容（3分/项）：①培训时间安排；②培训内容及培训方式； 二、评审标准：提供详细、合理、科学可行的方案，方案符合本项目采购需求有针对性，以上3项，以序号①、②为项数，内容无缺项、无漏项且无缺陷的得6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一、评审内容（3分/项）：①所投产品提供合法来源渠道证明材料；②产品质量保障措施；③产品的设计、工艺、加工、检验能力； 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一、评审内容（3分/项）: 投标人根据本项目特点，提供项目售后服务方案。包含不限于：①售后服务方案完整可行，有明确的售后服务标准、售后服务承诺以及在质保期内产品发生质量问题所产生的换货修补服务具体响应时限、补救措施等；②售后服务机构组成，人员从业经历，服务人员培训计划情况；③售后服务响应（电话支持、到场服务）； 二、评审标准：提供详细、合理、科学可行的方案，方案符合本项目采购需求有针对性，以上3项，以序号①、②、③为项数，内容无缺项、无漏项且无缺陷的得12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2月至今）的类似项目业绩，每提供一个有效业绩得1分，最高得2分。注：每个有效业绩须包含以下内容：合同复印件（提供合同首页、服务主要内容页、金额页、盖章页等关键页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供应商针对本项目提出合理化建议： 每提出一条有利于本项目实施且具备可行性的合理化建议得1分，本项最高得4分。未提供或提出的建议与本项目无关或无可行性的得0分。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满足招标文件要求且投标价格最低的投标报价为评标基准价，其价格分为满分。其他投标单位的价格分统一按照下列公式计算：投标报价得分=(评标基准价／投标报价)×30%×100。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