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版本号：ZCSP-华县-2026-0001120260209001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华州区人民医院医疗设备B超维保服务项目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ZCSP-华县-2026-00011</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华州区人民医院医疗设备B超维保服务项目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ZCSP-华县-2026-00011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华州区人民医院医疗设备B超维保服务项目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为确设备的正常运行，保障临床诊疗工作顺利开展，现对彩色多普勒超声系统5台设备进行维保服务。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采购包1（渭南市华州区人民医院医疗设备B超维保服务项目）：属于专门面向中小企业采购。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3、无控股管理承诺：单位负责人为同一人或者存在直接控股、管理关系的不同供应商，不得参加同一合同项下的政府采购活动。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合法合规：符合《医疗器械监督管理条例》、《医用超声设备通用技术要求》及医院相关规定，并达到采购人相关要求。 功能完整：维修、保养后所有临床常用功能、选配功能均恢复正常，无隐性故障。 可追溯：服务过程、更换配件、检测数据、校准记录完整可查。 满足临床：图像质量、操作流畅度、报告输出满足科室日常诊疗需求。 资料验收：每一次的维保结果经工程师签字，资料齐全、有效。 2.验收依据 （1）合同文本及合同补充文件（条款）； （2）服务的证明文件、佐证材料； （3）磋商文件； （4）成交人的响应文件； （5）服务内容。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为确设备的正常运行，保障临床诊疗工作顺利开展，现对彩色多普勒超声系统5台设备进行维保服务。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B超维保服务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标的名称：B超维保服务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为确设备的正常运行，保障临床诊疗工作顺利开展，现对彩色多普勒超声系统</w:t>
            </w:r>
            <w:r>
              <w:rPr>
                <w:rFonts w:ascii="仿宋_GB2312" w:hAnsi="仿宋_GB2312" w:cs="仿宋_GB2312" w:eastAsia="仿宋_GB2312"/>
                <w:sz w:val="24"/>
              </w:rPr>
              <w:t>5台设备进行维保服务。</w:t>
            </w:r>
          </w:p>
          <w:p>
            <w:pPr>
              <w:pStyle w:val="null3"/>
              <w:ind w:firstLine="482"/>
              <w:jc w:val="both"/>
            </w:pPr>
            <w:r>
              <w:rPr>
                <w:rFonts w:ascii="仿宋_GB2312" w:hAnsi="仿宋_GB2312" w:cs="仿宋_GB2312" w:eastAsia="仿宋_GB2312"/>
                <w:sz w:val="24"/>
                <w:b/>
              </w:rPr>
              <w:t>二、维保设备名称及型号</w:t>
            </w:r>
          </w:p>
          <w:tbl>
            <w:tblPr>
              <w:tblInd w:type="dxa" w:w="135"/>
              <w:tblBorders>
                <w:top w:val="none" w:color="000000" w:sz="4"/>
                <w:left w:val="none" w:color="000000" w:sz="4"/>
                <w:bottom w:val="none" w:color="000000" w:sz="4"/>
                <w:right w:val="none" w:color="000000" w:sz="4"/>
                <w:insideH w:val="none"/>
                <w:insideV w:val="none"/>
              </w:tblBorders>
            </w:tblPr>
            <w:tblGrid>
              <w:gridCol w:w="225"/>
              <w:gridCol w:w="758"/>
              <w:gridCol w:w="354"/>
              <w:gridCol w:w="450"/>
              <w:gridCol w:w="418"/>
              <w:gridCol w:w="348"/>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设备型号</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设备序列号</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探头型号</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所属科室</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便携式彩色多普勒超声系统</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M6</w:t>
                  </w:r>
                </w:p>
              </w:tc>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9U-88001027</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3C5s</w:t>
                  </w:r>
                </w:p>
              </w:tc>
              <w:tc>
                <w:tcPr>
                  <w:tcW w:type="dxa" w:w="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ICU</w:t>
                  </w: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7L4s</w:t>
                  </w:r>
                </w:p>
              </w:tc>
              <w:tc>
                <w:tcPr>
                  <w:tcW w:type="dxa" w:w="348"/>
                  <w:vMerge/>
                  <w:tcBorders>
                    <w:top w:val="none" w:color="000000" w:sz="4"/>
                    <w:left w:val="single" w:color="000000" w:sz="4"/>
                    <w:bottom w:val="single" w:color="000000" w:sz="4"/>
                    <w:right w:val="single" w:color="000000" w:sz="4"/>
                  </w:tcBorders>
                </w:tcP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便携式彩色多普勒超声系统</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M6</w:t>
                  </w:r>
                </w:p>
              </w:tc>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9U-88001026</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3C5s</w:t>
                  </w:r>
                </w:p>
              </w:tc>
              <w:tc>
                <w:tcPr>
                  <w:tcW w:type="dxa" w:w="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超声科</w:t>
                  </w: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7L4s</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2P2s</w:t>
                  </w:r>
                </w:p>
              </w:tc>
              <w:tc>
                <w:tcPr>
                  <w:tcW w:type="dxa" w:w="348"/>
                  <w:vMerge/>
                  <w:tcBorders>
                    <w:top w:val="none" w:color="000000" w:sz="4"/>
                    <w:left w:val="single" w:color="000000" w:sz="4"/>
                    <w:bottom w:val="single" w:color="000000" w:sz="4"/>
                    <w:right w:val="single" w:color="000000" w:sz="4"/>
                  </w:tcBorders>
                </w:tcP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彩色多普勒超声系统</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RE8 ELITE</w:t>
                  </w:r>
                </w:p>
              </w:tc>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JK8-0C000014</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SP5-1U</w:t>
                  </w:r>
                </w:p>
              </w:tc>
              <w:tc>
                <w:tcPr>
                  <w:tcW w:type="dxa" w:w="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超声科</w:t>
                  </w: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D8-2U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SC6-1U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DE10-3U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L14-5WU</w:t>
                  </w:r>
                </w:p>
              </w:tc>
              <w:tc>
                <w:tcPr>
                  <w:tcW w:type="dxa" w:w="348"/>
                  <w:vMerge/>
                  <w:tcBorders>
                    <w:top w:val="none" w:color="000000" w:sz="4"/>
                    <w:left w:val="single" w:color="000000" w:sz="4"/>
                    <w:bottom w:val="single" w:color="000000" w:sz="4"/>
                    <w:right w:val="single" w:color="000000" w:sz="4"/>
                  </w:tcBorders>
                </w:tcP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彩色多普勒超声系统</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Resona R9</w:t>
                  </w:r>
                </w:p>
              </w:tc>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JA8-33000835</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SC6-1U</w:t>
                  </w:r>
                </w:p>
              </w:tc>
              <w:tc>
                <w:tcPr>
                  <w:tcW w:type="dxa" w:w="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超声科</w:t>
                  </w:r>
                </w:p>
                <w:p>
                  <w:pPr>
                    <w:pStyle w:val="null3"/>
                    <w:jc w:val="center"/>
                  </w:p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L14-5WU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SP5-1U</w:t>
                  </w:r>
                </w:p>
              </w:tc>
              <w:tc>
                <w:tcPr>
                  <w:tcW w:type="dxa" w:w="348"/>
                  <w:vMerge/>
                  <w:tcBorders>
                    <w:top w:val="none" w:color="000000" w:sz="4"/>
                    <w:left w:val="single" w:color="000000" w:sz="4"/>
                    <w:bottom w:val="single" w:color="000000" w:sz="4"/>
                    <w:right w:val="single" w:color="000000" w:sz="4"/>
                  </w:tcBorders>
                </w:tcP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迈瑞</w:t>
                  </w:r>
                  <w:r>
                    <w:rPr>
                      <w:rFonts w:ascii="仿宋_GB2312" w:hAnsi="仿宋_GB2312" w:cs="仿宋_GB2312" w:eastAsia="仿宋_GB2312"/>
                      <w:sz w:val="24"/>
                    </w:rPr>
                    <w:t>彩色多普勒超声系统</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Nuewa R9</w:t>
                  </w:r>
                </w:p>
              </w:tc>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LR9-23000076</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SC6-1U</w:t>
                  </w:r>
                </w:p>
              </w:tc>
              <w:tc>
                <w:tcPr>
                  <w:tcW w:type="dxa" w:w="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超声科</w:t>
                  </w: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L14-5WU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DE10-3WU</w:t>
                  </w:r>
                </w:p>
              </w:tc>
              <w:tc>
                <w:tcPr>
                  <w:tcW w:type="dxa" w:w="348"/>
                  <w:vMerge/>
                  <w:tcBorders>
                    <w:top w:val="none" w:color="000000" w:sz="4"/>
                    <w:left w:val="single" w:color="000000" w:sz="4"/>
                    <w:bottom w:val="single" w:color="000000" w:sz="4"/>
                    <w:right w:val="single" w:color="000000" w:sz="4"/>
                  </w:tcBorders>
                </w:tcPr>
                <w:p/>
              </w:tc>
            </w:tr>
            <w:tr>
              <w:tc>
                <w:tcPr>
                  <w:tcW w:type="dxa" w:w="225"/>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354"/>
                  <w:vMerge/>
                  <w:tcBorders>
                    <w:top w:val="none" w:color="000000" w:sz="4"/>
                    <w:left w:val="single" w:color="000000" w:sz="4"/>
                    <w:bottom w:val="single" w:color="000000" w:sz="4"/>
                    <w:right w:val="single" w:color="000000" w:sz="4"/>
                  </w:tcBorders>
                </w:tcPr>
                <w:p/>
              </w:tc>
              <w:tc>
                <w:tcPr>
                  <w:tcW w:type="dxa" w:w="450"/>
                  <w:vMerge/>
                  <w:tcBorders>
                    <w:top w:val="none" w:color="000000" w:sz="4"/>
                    <w:left w:val="single" w:color="000000" w:sz="4"/>
                    <w:bottom w:val="single" w:color="000000" w:sz="4"/>
                    <w:right w:val="single" w:color="000000" w:sz="4"/>
                  </w:tcBorders>
                </w:tcP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D8-2U</w:t>
                  </w:r>
                </w:p>
              </w:tc>
              <w:tc>
                <w:tcPr>
                  <w:tcW w:type="dxa" w:w="348"/>
                  <w:vMerge/>
                  <w:tcBorders>
                    <w:top w:val="none" w:color="000000" w:sz="4"/>
                    <w:left w:val="single" w:color="000000" w:sz="4"/>
                    <w:bottom w:val="single" w:color="000000" w:sz="4"/>
                    <w:right w:val="single" w:color="000000" w:sz="4"/>
                  </w:tcBorders>
                </w:tcPr>
                <w:p/>
              </w:tc>
            </w:tr>
          </w:tbl>
          <w:p>
            <w:pPr>
              <w:pStyle w:val="null3"/>
              <w:ind w:firstLine="482"/>
              <w:jc w:val="both"/>
            </w:pPr>
            <w:r>
              <w:rPr>
                <w:rFonts w:ascii="仿宋_GB2312" w:hAnsi="仿宋_GB2312" w:cs="仿宋_GB2312" w:eastAsia="仿宋_GB2312"/>
                <w:sz w:val="24"/>
                <w:b/>
              </w:rPr>
              <w:t>三、维保服务具体要求</w:t>
            </w:r>
          </w:p>
          <w:p>
            <w:pPr>
              <w:pStyle w:val="null3"/>
              <w:ind w:firstLine="482"/>
              <w:jc w:val="both"/>
            </w:pPr>
            <w:r>
              <w:rPr>
                <w:rFonts w:ascii="仿宋_GB2312" w:hAnsi="仿宋_GB2312" w:cs="仿宋_GB2312" w:eastAsia="仿宋_GB2312"/>
                <w:sz w:val="24"/>
                <w:b/>
              </w:rPr>
              <w:t>1、保修范围</w:t>
            </w:r>
          </w:p>
          <w:p>
            <w:pPr>
              <w:pStyle w:val="null3"/>
              <w:ind w:firstLine="480"/>
              <w:jc w:val="both"/>
            </w:pPr>
            <w:r>
              <w:rPr>
                <w:rFonts w:ascii="仿宋_GB2312" w:hAnsi="仿宋_GB2312" w:cs="仿宋_GB2312" w:eastAsia="仿宋_GB2312"/>
                <w:sz w:val="24"/>
              </w:rPr>
              <w:t>1.1提供B超维保范围B超整机全部软硬件，包括设备主机、显示器、控制单元、电源系统、所有原配探头及缆线、脚踏开关等全部硬件和系统软件。</w:t>
            </w:r>
          </w:p>
          <w:p>
            <w:pPr>
              <w:pStyle w:val="null3"/>
              <w:ind w:firstLine="480"/>
              <w:jc w:val="both"/>
            </w:pPr>
            <w:r>
              <w:rPr>
                <w:rFonts w:ascii="仿宋_GB2312" w:hAnsi="仿宋_GB2312" w:cs="仿宋_GB2312" w:eastAsia="仿宋_GB2312"/>
                <w:sz w:val="24"/>
              </w:rPr>
              <w:t>1.2 须提供整机保修一年，并根据采购人要求为每台B超更换任意一把探头，并保证为原厂备件。</w:t>
            </w:r>
          </w:p>
          <w:p>
            <w:pPr>
              <w:pStyle w:val="null3"/>
              <w:ind w:firstLine="482"/>
              <w:jc w:val="both"/>
            </w:pPr>
            <w:r>
              <w:rPr>
                <w:rFonts w:ascii="仿宋_GB2312" w:hAnsi="仿宋_GB2312" w:cs="仿宋_GB2312" w:eastAsia="仿宋_GB2312"/>
                <w:sz w:val="24"/>
                <w:b/>
              </w:rPr>
              <w:t>2、服务标准与响应要求</w:t>
            </w:r>
          </w:p>
          <w:p>
            <w:pPr>
              <w:pStyle w:val="null3"/>
              <w:ind w:firstLine="480"/>
              <w:jc w:val="both"/>
            </w:pPr>
            <w:r>
              <w:rPr>
                <w:rFonts w:ascii="仿宋_GB2312" w:hAnsi="仿宋_GB2312" w:cs="仿宋_GB2312" w:eastAsia="仿宋_GB2312"/>
                <w:sz w:val="24"/>
              </w:rPr>
              <w:t>2.1技术支持与响应：提供7×24小时免费技术服务热线。</w:t>
            </w:r>
          </w:p>
          <w:p>
            <w:pPr>
              <w:pStyle w:val="null3"/>
              <w:ind w:firstLine="480"/>
              <w:jc w:val="both"/>
            </w:pPr>
            <w:r>
              <w:rPr>
                <w:rFonts w:ascii="仿宋_GB2312" w:hAnsi="仿宋_GB2312" w:cs="仿宋_GB2312" w:eastAsia="仿宋_GB2312"/>
                <w:sz w:val="24"/>
              </w:rPr>
              <w:t>2.2故障响应： 供应商接到医院报修电话后，</w:t>
            </w:r>
            <w:r>
              <w:rPr>
                <w:rFonts w:ascii="仿宋_GB2312" w:hAnsi="仿宋_GB2312" w:cs="仿宋_GB2312" w:eastAsia="仿宋_GB2312"/>
                <w:sz w:val="24"/>
              </w:rPr>
              <w:t>≦</w:t>
            </w:r>
            <w:r>
              <w:rPr>
                <w:rFonts w:ascii="仿宋_GB2312" w:hAnsi="仿宋_GB2312" w:cs="仿宋_GB2312" w:eastAsia="仿宋_GB2312"/>
                <w:sz w:val="24"/>
              </w:rPr>
              <w:t>15分钟电话响应，</w:t>
            </w:r>
            <w:r>
              <w:rPr>
                <w:rFonts w:ascii="仿宋_GB2312" w:hAnsi="仿宋_GB2312" w:cs="仿宋_GB2312" w:eastAsia="仿宋_GB2312"/>
                <w:sz w:val="24"/>
              </w:rPr>
              <w:t>≦</w:t>
            </w:r>
            <w:r>
              <w:rPr>
                <w:rFonts w:ascii="仿宋_GB2312" w:hAnsi="仿宋_GB2312" w:cs="仿宋_GB2312" w:eastAsia="仿宋_GB2312"/>
                <w:sz w:val="24"/>
              </w:rPr>
              <w:t>2小时提供远程技术指导或解决方案。</w:t>
            </w:r>
          </w:p>
          <w:p>
            <w:pPr>
              <w:pStyle w:val="null3"/>
              <w:ind w:firstLine="480"/>
              <w:jc w:val="both"/>
            </w:pPr>
            <w:r>
              <w:rPr>
                <w:rFonts w:ascii="仿宋_GB2312" w:hAnsi="仿宋_GB2312" w:cs="仿宋_GB2312" w:eastAsia="仿宋_GB2312"/>
                <w:sz w:val="24"/>
              </w:rPr>
              <w:t>2.3现场响应： 需现场服务的，维保工程师应在</w:t>
            </w:r>
            <w:r>
              <w:rPr>
                <w:rFonts w:ascii="仿宋_GB2312" w:hAnsi="仿宋_GB2312" w:cs="仿宋_GB2312" w:eastAsia="仿宋_GB2312"/>
                <w:sz w:val="24"/>
              </w:rPr>
              <w:t>≦</w:t>
            </w:r>
            <w:r>
              <w:rPr>
                <w:rFonts w:ascii="仿宋_GB2312" w:hAnsi="仿宋_GB2312" w:cs="仿宋_GB2312" w:eastAsia="仿宋_GB2312"/>
                <w:sz w:val="24"/>
              </w:rPr>
              <w:t xml:space="preserve">8个工作小时抵达设备现场。  </w:t>
            </w:r>
          </w:p>
          <w:p>
            <w:pPr>
              <w:pStyle w:val="null3"/>
              <w:ind w:firstLine="480"/>
              <w:jc w:val="both"/>
            </w:pPr>
            <w:r>
              <w:rPr>
                <w:rFonts w:ascii="仿宋_GB2312" w:hAnsi="仿宋_GB2312" w:cs="仿宋_GB2312" w:eastAsia="仿宋_GB2312"/>
                <w:sz w:val="24"/>
              </w:rPr>
              <w:t>2.4故障修复时限：一般性故障：</w:t>
            </w:r>
            <w:r>
              <w:rPr>
                <w:rFonts w:ascii="仿宋_GB2312" w:hAnsi="仿宋_GB2312" w:cs="仿宋_GB2312" w:eastAsia="仿宋_GB2312"/>
                <w:sz w:val="24"/>
              </w:rPr>
              <w:t>≦</w:t>
            </w:r>
            <w:r>
              <w:rPr>
                <w:rFonts w:ascii="仿宋_GB2312" w:hAnsi="仿宋_GB2312" w:cs="仿宋_GB2312" w:eastAsia="仿宋_GB2312"/>
                <w:sz w:val="24"/>
              </w:rPr>
              <w:t>24小时内修复。重大复杂故障：若48小时内无法修复，应在征得医院同意后，立即提供相同或更高档次的备用设备供临床应急使用，直至原设备修复完毕，期间产生的费用由供应商承担。</w:t>
            </w:r>
          </w:p>
          <w:p>
            <w:pPr>
              <w:pStyle w:val="null3"/>
              <w:ind w:firstLine="480"/>
              <w:jc w:val="both"/>
            </w:pPr>
            <w:r>
              <w:rPr>
                <w:rFonts w:ascii="仿宋_GB2312" w:hAnsi="仿宋_GB2312" w:cs="仿宋_GB2312" w:eastAsia="仿宋_GB2312"/>
                <w:sz w:val="24"/>
              </w:rPr>
              <w:t>2.5预防性维护（PM）：每年为每台设备提供</w:t>
            </w:r>
            <w:r>
              <w:rPr>
                <w:rFonts w:ascii="仿宋_GB2312" w:hAnsi="仿宋_GB2312" w:cs="仿宋_GB2312" w:eastAsia="仿宋_GB2312"/>
                <w:sz w:val="24"/>
              </w:rPr>
              <w:t>≧</w:t>
            </w:r>
            <w:r>
              <w:rPr>
                <w:rFonts w:ascii="仿宋_GB2312" w:hAnsi="仿宋_GB2312" w:cs="仿宋_GB2312" w:eastAsia="仿宋_GB2312"/>
                <w:sz w:val="24"/>
              </w:rPr>
              <w:t>2次的全面预防性维护保养，同时对B超操作人员进行日常维护培训，并提交书面报告。内容包括：设备性能检测与校准、安全检查、图像质量优化、设备清洁，科内培训等。</w:t>
            </w:r>
          </w:p>
          <w:p>
            <w:pPr>
              <w:pStyle w:val="null3"/>
              <w:ind w:firstLine="480"/>
              <w:jc w:val="both"/>
            </w:pPr>
            <w:r>
              <w:rPr>
                <w:rFonts w:ascii="仿宋_GB2312" w:hAnsi="仿宋_GB2312" w:cs="仿宋_GB2312" w:eastAsia="仿宋_GB2312"/>
                <w:sz w:val="24"/>
              </w:rPr>
              <w:t>2.6配件与探头保障：所有更换的零配件必须为原厂全新正品，严禁使用翻新件、拆机件。每台B超免费更换一把探头，其余探头损坏，不限次数免费维修，不设免费维修名额上限。供应商提供的维修备件质保期1年（自零部件安装调试正常使用时算起），在质保期内若因该零部件质量问题导致设备故障，供应商负责更换配件并承担相应维修费责任及费用。</w:t>
            </w:r>
          </w:p>
          <w:p>
            <w:pPr>
              <w:pStyle w:val="null3"/>
              <w:ind w:firstLine="480"/>
              <w:jc w:val="both"/>
            </w:pPr>
            <w:r>
              <w:rPr>
                <w:rFonts w:ascii="仿宋_GB2312" w:hAnsi="仿宋_GB2312" w:cs="仿宋_GB2312" w:eastAsia="仿宋_GB2312"/>
                <w:sz w:val="24"/>
              </w:rPr>
              <w:t>2.7供应商应提供充足的备件库保障，确保维修的及时性。</w:t>
            </w:r>
          </w:p>
          <w:p>
            <w:pPr>
              <w:pStyle w:val="null3"/>
              <w:ind w:firstLine="480"/>
              <w:jc w:val="both"/>
            </w:pPr>
            <w:r>
              <w:rPr>
                <w:rFonts w:ascii="仿宋_GB2312" w:hAnsi="仿宋_GB2312" w:cs="仿宋_GB2312" w:eastAsia="仿宋_GB2312"/>
                <w:sz w:val="24"/>
              </w:rPr>
              <w:t>2.8软件升级服务：免费提供服务期内设备官方发布的所有操作系统及临床应用软件升级，确保设备功能与安全性保持最新。</w:t>
            </w:r>
          </w:p>
          <w:p>
            <w:pPr>
              <w:pStyle w:val="null3"/>
              <w:ind w:firstLine="480"/>
              <w:jc w:val="both"/>
            </w:pPr>
            <w:r>
              <w:rPr>
                <w:rFonts w:ascii="仿宋_GB2312" w:hAnsi="仿宋_GB2312" w:cs="仿宋_GB2312" w:eastAsia="仿宋_GB2312"/>
                <w:sz w:val="24"/>
              </w:rPr>
              <w:t>2.9服务报告：每次服务（包括维修、保养）结束后，需向医院设备科提供详细的服务报告，由维保工程师和医院相关负责人共同签字确认。报告需含故障现象、原因分析、处理过程、更换配件清单及序列号等。</w:t>
            </w:r>
          </w:p>
          <w:p>
            <w:pPr>
              <w:pStyle w:val="null3"/>
              <w:ind w:firstLine="480"/>
              <w:jc w:val="both"/>
            </w:pPr>
            <w:r>
              <w:rPr>
                <w:rFonts w:ascii="仿宋_GB2312" w:hAnsi="仿宋_GB2312" w:cs="仿宋_GB2312" w:eastAsia="仿宋_GB2312"/>
                <w:sz w:val="24"/>
              </w:rPr>
              <w:t>2.10 供应商配合医院完成5台设备的质量检测相关工作。</w:t>
            </w:r>
          </w:p>
          <w:p>
            <w:pPr>
              <w:pStyle w:val="null3"/>
              <w:ind w:firstLine="482"/>
              <w:jc w:val="both"/>
            </w:pPr>
            <w:r>
              <w:rPr>
                <w:rFonts w:ascii="仿宋_GB2312" w:hAnsi="仿宋_GB2312" w:cs="仿宋_GB2312" w:eastAsia="仿宋_GB2312"/>
                <w:sz w:val="24"/>
                <w:b/>
              </w:rPr>
              <w:t>3、履约要求</w:t>
            </w:r>
          </w:p>
          <w:p>
            <w:pPr>
              <w:pStyle w:val="null3"/>
              <w:ind w:firstLine="480"/>
              <w:jc w:val="both"/>
            </w:pPr>
            <w:r>
              <w:rPr>
                <w:rFonts w:ascii="仿宋_GB2312" w:hAnsi="仿宋_GB2312" w:cs="仿宋_GB2312" w:eastAsia="仿宋_GB2312"/>
                <w:sz w:val="24"/>
              </w:rPr>
              <w:t>3.1供应商提供工程师必须经过原厂严格培训并持有有效的认证资格证书，提供主要服务工程师的资质证明复印件。</w:t>
            </w:r>
          </w:p>
          <w:p>
            <w:pPr>
              <w:pStyle w:val="null3"/>
              <w:ind w:firstLine="480"/>
              <w:jc w:val="both"/>
            </w:pPr>
            <w:r>
              <w:rPr>
                <w:rFonts w:ascii="仿宋_GB2312" w:hAnsi="仿宋_GB2312" w:cs="仿宋_GB2312" w:eastAsia="仿宋_GB2312"/>
                <w:sz w:val="24"/>
              </w:rPr>
              <w:t>3.2供应商中标后需在本地区设有固定的售后服务网点，并配备充足的备件库，具备快速响应能力。（提供承诺函加盖单位公章）</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供应商的报价包含所有设备的日常巡检与保养费，维修（包括配件更换）费，培训费、配件费、安装费、验收费、交通费等服务的全部费用，采购人不再额外支付任何费用。</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、验收</w:t>
            </w:r>
          </w:p>
          <w:p>
            <w:pPr>
              <w:pStyle w:val="null3"/>
              <w:ind w:firstLine="482"/>
              <w:jc w:val="both"/>
            </w:pPr>
            <w:r>
              <w:rPr>
                <w:rFonts w:ascii="仿宋_GB2312" w:hAnsi="仿宋_GB2312" w:cs="仿宋_GB2312" w:eastAsia="仿宋_GB2312"/>
                <w:sz w:val="24"/>
                <w:b/>
              </w:rPr>
              <w:t>1.验收</w:t>
            </w:r>
            <w:r>
              <w:rPr>
                <w:rFonts w:ascii="仿宋_GB2312" w:hAnsi="仿宋_GB2312" w:cs="仿宋_GB2312" w:eastAsia="仿宋_GB2312"/>
                <w:sz w:val="24"/>
                <w:b/>
              </w:rPr>
              <w:t>标准</w:t>
            </w:r>
          </w:p>
          <w:p>
            <w:pPr>
              <w:pStyle w:val="null3"/>
              <w:ind w:firstLine="480"/>
              <w:jc w:val="both"/>
            </w:pPr>
            <w:r>
              <w:rPr>
                <w:rFonts w:ascii="仿宋_GB2312" w:hAnsi="仿宋_GB2312" w:cs="仿宋_GB2312" w:eastAsia="仿宋_GB2312"/>
                <w:sz w:val="24"/>
              </w:rPr>
              <w:t>合法合规：符合《医疗器械监督管理条例》</w:t>
            </w:r>
            <w:r>
              <w:rPr>
                <w:rFonts w:ascii="仿宋_GB2312" w:hAnsi="仿宋_GB2312" w:cs="仿宋_GB2312" w:eastAsia="仿宋_GB2312"/>
                <w:sz w:val="24"/>
              </w:rPr>
              <w:t>、</w:t>
            </w:r>
            <w:r>
              <w:rPr>
                <w:rFonts w:ascii="仿宋_GB2312" w:hAnsi="仿宋_GB2312" w:cs="仿宋_GB2312" w:eastAsia="仿宋_GB2312"/>
                <w:sz w:val="24"/>
              </w:rPr>
              <w:t>《医用超声设备通用技术要求》及医院</w:t>
            </w:r>
            <w:r>
              <w:rPr>
                <w:rFonts w:ascii="仿宋_GB2312" w:hAnsi="仿宋_GB2312" w:cs="仿宋_GB2312" w:eastAsia="仿宋_GB2312"/>
                <w:sz w:val="24"/>
              </w:rPr>
              <w:t>相关</w:t>
            </w:r>
            <w:r>
              <w:rPr>
                <w:rFonts w:ascii="仿宋_GB2312" w:hAnsi="仿宋_GB2312" w:cs="仿宋_GB2312" w:eastAsia="仿宋_GB2312"/>
                <w:sz w:val="24"/>
              </w:rPr>
              <w:t>规定</w:t>
            </w:r>
            <w:r>
              <w:rPr>
                <w:rFonts w:ascii="仿宋_GB2312" w:hAnsi="仿宋_GB2312" w:cs="仿宋_GB2312" w:eastAsia="仿宋_GB2312"/>
                <w:sz w:val="24"/>
              </w:rPr>
              <w:t>，</w:t>
            </w:r>
            <w:r>
              <w:rPr>
                <w:rFonts w:ascii="仿宋_GB2312" w:hAnsi="仿宋_GB2312" w:cs="仿宋_GB2312" w:eastAsia="仿宋_GB2312"/>
                <w:sz w:val="24"/>
              </w:rPr>
              <w:t>并达到采购人相关要求。</w:t>
            </w:r>
          </w:p>
          <w:p>
            <w:pPr>
              <w:pStyle w:val="null3"/>
              <w:ind w:firstLine="480"/>
              <w:jc w:val="both"/>
            </w:pPr>
            <w:r>
              <w:rPr>
                <w:rFonts w:ascii="仿宋_GB2312" w:hAnsi="仿宋_GB2312" w:cs="仿宋_GB2312" w:eastAsia="仿宋_GB2312"/>
                <w:sz w:val="24"/>
              </w:rPr>
              <w:t>功能完整：维修</w:t>
            </w:r>
            <w:r>
              <w:rPr>
                <w:rFonts w:ascii="仿宋_GB2312" w:hAnsi="仿宋_GB2312" w:cs="仿宋_GB2312" w:eastAsia="仿宋_GB2312"/>
                <w:sz w:val="24"/>
              </w:rPr>
              <w:t>、</w:t>
            </w:r>
            <w:r>
              <w:rPr>
                <w:rFonts w:ascii="仿宋_GB2312" w:hAnsi="仿宋_GB2312" w:cs="仿宋_GB2312" w:eastAsia="仿宋_GB2312"/>
                <w:sz w:val="24"/>
              </w:rPr>
              <w:t>保养后所有临床常用功能、选配功能均恢复正常，无隐性故障。</w:t>
            </w:r>
          </w:p>
          <w:p>
            <w:pPr>
              <w:pStyle w:val="null3"/>
              <w:ind w:firstLine="480"/>
              <w:jc w:val="both"/>
            </w:pPr>
            <w:r>
              <w:rPr>
                <w:rFonts w:ascii="仿宋_GB2312" w:hAnsi="仿宋_GB2312" w:cs="仿宋_GB2312" w:eastAsia="仿宋_GB2312"/>
                <w:sz w:val="24"/>
              </w:rPr>
              <w:t>可追溯：服务过程、更换配件、检测数据、校准记录完整可查。</w:t>
            </w:r>
          </w:p>
          <w:p>
            <w:pPr>
              <w:pStyle w:val="null3"/>
              <w:ind w:firstLine="480"/>
              <w:jc w:val="both"/>
            </w:pPr>
            <w:r>
              <w:rPr>
                <w:rFonts w:ascii="仿宋_GB2312" w:hAnsi="仿宋_GB2312" w:cs="仿宋_GB2312" w:eastAsia="仿宋_GB2312"/>
                <w:sz w:val="24"/>
              </w:rPr>
              <w:t>满足临床：图像质量、操作流畅度、报告输出满足科室日常诊疗需求。</w:t>
            </w:r>
          </w:p>
          <w:p>
            <w:pPr>
              <w:pStyle w:val="null3"/>
              <w:ind w:firstLine="480"/>
              <w:jc w:val="both"/>
            </w:pPr>
            <w:r>
              <w:rPr>
                <w:rFonts w:ascii="仿宋_GB2312" w:hAnsi="仿宋_GB2312" w:cs="仿宋_GB2312" w:eastAsia="仿宋_GB2312"/>
                <w:sz w:val="24"/>
              </w:rPr>
              <w:t>资料验收：每一次的维保结果经工程师签字，资料齐全、有效。</w:t>
            </w:r>
          </w:p>
          <w:p>
            <w:pPr>
              <w:pStyle w:val="null3"/>
              <w:ind w:firstLine="482"/>
              <w:jc w:val="both"/>
            </w:pPr>
            <w:r>
              <w:rPr>
                <w:rFonts w:ascii="仿宋_GB2312" w:hAnsi="仿宋_GB2312" w:cs="仿宋_GB2312" w:eastAsia="仿宋_GB2312"/>
                <w:sz w:val="24"/>
                <w:b/>
              </w:rPr>
              <w:t>2.验收依据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合同文本及合同补充文件（条款）；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服务的证明文件、佐证材料；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磋商文件；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成交人的响应文件；</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服务内容。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人员配置合理，岗位职责明确，满足项目实施要求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配件满足设备使用要求，维保工具满足项目实施要求。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合法合规：符合《医疗器械监督管理条例》、《医用超声设备通用技术要求》及医院相关规定，并达到采购人相关要求。 功能完整：维修、保养后所有临床常用功能、选配功能均恢复正常，无隐性故障。 可追溯：服务过程、更换配件、检测数据、校准记录完整可查。 满足临床：图像质量、操作流畅度、报告输出满足科室日常诊疗需求。 资料验收：每一次的维保结果经工程师签字，资料齐全、有效。 2.验收依据 （1）合同文本及合同补充文件（条款）； （2）服务的证明文件、佐证材料； （3）磋商文件； （4）成交人的响应文件； （5）服务内容。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根据维保服务进度，每次按季度付款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根据维保服务进度，每次按季度付款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根据维保服务进度，每次按季度付款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根据维保服务进度，每次按季度付款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1、服务期间内出现质量、技术、服务、安全等问题不能及时维修或更换，影响工作任务开展的情况下，供应商将予以采购人合同总价款的5%作为经济补偿，同时采购人有权追究其相应违约责任。 2、服务期间采购人每半年将对供应商服务情况进行满意度评分，满意度低于95%，将扣除相应合同价款的5%作为经济补偿，同时采购人有权追究其相应责任。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促进中小企业发展管理办法》（财库﹝2020）46号）文件规定，本项目专门面向中小企业采购，不再享受价格扣除。中小企业参加政府采购活动，应当出具符合财库〔2020〕46号规定的《中小企业声明函》,否则按无效磋商处理。 3.根据《政府采购法实施条例》释义，银行、保险、石油石化、电力、电信等有行业特殊情况的，允许法人的分支机构参加政府采购活动。 4.根据关于印发中小企业划型标准规定的通知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2024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满足磋商文件实质性要求及服务要求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照磋商文件要求进行签章</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分项报价表.docx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（一）评审内容①健全的维护管理工具与手段；②设备日常巡检、维护、保养方案；③设备维修、配件免费更换方案；④维保服务流程。 （二）评审标准：每一条评审内容无缺陷得5分，满分20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（一）评审内容：①维保服务质量保障体系；②备配备件质量保证；③质量控制措施； （二）评审标准：每一条评审内容无缺陷得5分，满分15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（一）评审内容：①进度保障措施；②各阶段时间节点合理安排措施；③维修、保养资料及档案记录的完整性。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响应履约保障</w:t>
            </w:r>
          </w:p>
        </w:tc>
        <w:tc>
          <w:tcPr>
            <w:tcW w:type="dxa" w:w="2492"/>
          </w:tcPr>
          <w:p>
            <w:pPr>
              <w:pStyle w:val="null3"/>
            </w:pPr>
            <w:r>
              <w:rPr>
                <w:rFonts w:ascii="仿宋_GB2312" w:hAnsi="仿宋_GB2312" w:cs="仿宋_GB2312" w:eastAsia="仿宋_GB2312"/>
              </w:rPr>
              <w:t>（一）评审内容：①设备出现故障及时响应保障措施；②设备检定和校准准确措施；③设备保养预防性维护措施；④项目实施过程中针对突发事件的风险防范措施及应急突发事件的处理预案。 （二）评审标准：每一条评审内容无缺陷得3分，满分12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（一）评审内容：①服务体系及响应时间；②操作人员技术培训；③软件免费升级服务。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零配件储备</w:t>
            </w:r>
          </w:p>
        </w:tc>
        <w:tc>
          <w:tcPr>
            <w:tcW w:type="dxa" w:w="2492"/>
          </w:tcPr>
          <w:p>
            <w:pPr>
              <w:pStyle w:val="null3"/>
            </w:pPr>
            <w:r>
              <w:rPr>
                <w:rFonts w:ascii="仿宋_GB2312" w:hAnsi="仿宋_GB2312" w:cs="仿宋_GB2312" w:eastAsia="仿宋_GB2312"/>
              </w:rPr>
              <w:t>（一）评审内容：①具有备品备件库，并提供备品备件库的证明材料；②备品备件种类齐全，提供备品备件清单。 （二）评审标准：每一条评审内容无缺陷得3分，满分6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供应商提供针对本项目拟派的维修人员，具有医疗设备维修相关资格证书，每提供1人得1分，最高得5分。 注：提供人员证明材料复印件，加盖单位公章，否则不得分。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供应商具有近三年（2023年1月至今）的类似业绩（合同复印件并加盖供应商公章，以合同签订时间为准）每个计1分，最多得4分；未提供不得分。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满足磋商文件要求且最终磋商价格最低的磋商报价为评标基准价，其价格分为满分。其他供应商的价格分统一按照下列公式计算： 磋商报价得分=(评标基准价／磋商报价)×20%×100。 备注：当磋商小组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磋商小组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