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CBE754">
      <w:pPr>
        <w:pStyle w:val="8"/>
        <w:rPr>
          <w:rFonts w:hint="eastAsia"/>
        </w:rPr>
      </w:pPr>
      <w:r>
        <w:rPr>
          <w:rFonts w:hint="eastAsia"/>
        </w:rPr>
        <w:t>合同主要条款</w:t>
      </w:r>
    </w:p>
    <w:p w14:paraId="3DF0B426">
      <w:pPr>
        <w:spacing w:line="360" w:lineRule="auto"/>
        <w:jc w:val="center"/>
        <w:rPr>
          <w:rFonts w:hint="eastAsia"/>
          <w:spacing w:val="12"/>
        </w:rPr>
      </w:pPr>
      <w:r>
        <w:rPr>
          <w:rFonts w:hint="eastAsia"/>
          <w:spacing w:val="12"/>
        </w:rPr>
        <w:t>注：本合同仅为合同的参考文本，合同签订双方可根据项目的具体要求进行修订。</w:t>
      </w:r>
    </w:p>
    <w:p w14:paraId="5B0D6ABD">
      <w:pPr>
        <w:spacing w:line="360" w:lineRule="auto"/>
        <w:jc w:val="center"/>
        <w:rPr>
          <w:spacing w:val="12"/>
        </w:rPr>
      </w:pPr>
    </w:p>
    <w:p w14:paraId="27DAC31D">
      <w:pPr>
        <w:spacing w:line="360" w:lineRule="auto"/>
        <w:jc w:val="center"/>
        <w:rPr>
          <w:rFonts w:hint="eastAsia"/>
          <w:spacing w:val="12"/>
          <w:sz w:val="44"/>
          <w:szCs w:val="44"/>
        </w:rPr>
      </w:pPr>
    </w:p>
    <w:p w14:paraId="45C775C7">
      <w:pPr>
        <w:pStyle w:val="6"/>
        <w:rPr>
          <w:rFonts w:hint="eastAsia"/>
        </w:rPr>
      </w:pPr>
    </w:p>
    <w:p w14:paraId="1AE5DB38">
      <w:pPr>
        <w:pStyle w:val="3"/>
        <w:jc w:val="center"/>
        <w:rPr>
          <w:rFonts w:hint="eastAsia"/>
          <w:b/>
          <w:bCs/>
          <w:color w:val="auto"/>
          <w:sz w:val="40"/>
          <w:szCs w:val="40"/>
        </w:rPr>
      </w:pPr>
      <w:r>
        <w:rPr>
          <w:rFonts w:hint="eastAsia"/>
          <w:b/>
          <w:bCs/>
          <w:color w:val="auto"/>
          <w:sz w:val="40"/>
          <w:szCs w:val="40"/>
        </w:rPr>
        <w:t>渭南市华州区人民医院医疗设备B超维保服务项目</w:t>
      </w:r>
    </w:p>
    <w:p w14:paraId="1AA664D5">
      <w:pPr>
        <w:rPr>
          <w:rFonts w:hint="eastAsia"/>
        </w:rPr>
      </w:pPr>
    </w:p>
    <w:p w14:paraId="35898D5F">
      <w:pPr>
        <w:pStyle w:val="3"/>
        <w:rPr>
          <w:rFonts w:hint="eastAsia"/>
        </w:rPr>
      </w:pPr>
    </w:p>
    <w:p w14:paraId="34F1F3A4">
      <w:pPr>
        <w:rPr>
          <w:rFonts w:hint="eastAsia"/>
        </w:rPr>
      </w:pPr>
    </w:p>
    <w:p w14:paraId="13EFB644">
      <w:pPr>
        <w:rPr>
          <w:rFonts w:hint="eastAsia"/>
        </w:rPr>
      </w:pPr>
    </w:p>
    <w:p w14:paraId="6249FF33">
      <w:pPr>
        <w:rPr>
          <w:rFonts w:hint="eastAsia"/>
        </w:rPr>
      </w:pPr>
    </w:p>
    <w:p w14:paraId="3B1F2078">
      <w:pPr>
        <w:rPr>
          <w:rFonts w:hint="eastAsia"/>
        </w:rPr>
      </w:pPr>
    </w:p>
    <w:p w14:paraId="40D488C8">
      <w:pPr>
        <w:spacing w:line="360" w:lineRule="auto"/>
        <w:jc w:val="center"/>
        <w:rPr>
          <w:rFonts w:hint="eastAsia"/>
          <w:b/>
          <w:bCs/>
          <w:spacing w:val="12"/>
          <w:sz w:val="48"/>
          <w:szCs w:val="48"/>
        </w:rPr>
      </w:pPr>
      <w:r>
        <w:rPr>
          <w:rFonts w:hint="eastAsia"/>
          <w:b/>
          <w:bCs/>
          <w:spacing w:val="12"/>
          <w:sz w:val="48"/>
          <w:szCs w:val="48"/>
        </w:rPr>
        <w:t>政府采购合同书</w:t>
      </w:r>
    </w:p>
    <w:p w14:paraId="7BF3502C">
      <w:pPr>
        <w:spacing w:line="360" w:lineRule="auto"/>
        <w:jc w:val="center"/>
        <w:rPr>
          <w:rFonts w:hint="eastAsia"/>
          <w:spacing w:val="12"/>
          <w:sz w:val="44"/>
          <w:szCs w:val="44"/>
        </w:rPr>
      </w:pPr>
      <w:r>
        <w:rPr>
          <w:rFonts w:hint="eastAsia"/>
          <w:spacing w:val="12"/>
          <w:sz w:val="32"/>
          <w:szCs w:val="32"/>
        </w:rPr>
        <w:t xml:space="preserve">                   </w:t>
      </w:r>
    </w:p>
    <w:p w14:paraId="22FF9665">
      <w:pPr>
        <w:spacing w:line="360" w:lineRule="auto"/>
        <w:rPr>
          <w:spacing w:val="12"/>
          <w:sz w:val="32"/>
          <w:szCs w:val="32"/>
          <w:u w:val="single"/>
        </w:rPr>
      </w:pPr>
    </w:p>
    <w:p w14:paraId="33913634">
      <w:pPr>
        <w:pStyle w:val="7"/>
        <w:ind w:firstLine="0"/>
        <w:rPr>
          <w:spacing w:val="12"/>
          <w:sz w:val="32"/>
          <w:szCs w:val="32"/>
          <w:u w:val="single"/>
        </w:rPr>
      </w:pPr>
    </w:p>
    <w:p w14:paraId="265B2EEB">
      <w:pPr>
        <w:pStyle w:val="7"/>
        <w:ind w:firstLine="0"/>
        <w:rPr>
          <w:rFonts w:hint="eastAsia"/>
          <w:spacing w:val="12"/>
          <w:sz w:val="32"/>
          <w:szCs w:val="32"/>
        </w:rPr>
      </w:pPr>
    </w:p>
    <w:p w14:paraId="342E17BE">
      <w:pPr>
        <w:pStyle w:val="3"/>
        <w:rPr>
          <w:rFonts w:hint="eastAsia"/>
        </w:rPr>
      </w:pPr>
    </w:p>
    <w:p w14:paraId="3983A098">
      <w:pPr>
        <w:rPr>
          <w:rFonts w:hint="eastAsia"/>
        </w:rPr>
      </w:pPr>
    </w:p>
    <w:p w14:paraId="63486806">
      <w:pPr>
        <w:pStyle w:val="6"/>
        <w:jc w:val="both"/>
        <w:rPr>
          <w:rFonts w:hint="eastAsia"/>
        </w:rPr>
      </w:pPr>
    </w:p>
    <w:p w14:paraId="77E4A98C">
      <w:pPr>
        <w:pStyle w:val="3"/>
        <w:rPr>
          <w:rFonts w:hint="eastAsia"/>
        </w:rPr>
      </w:pPr>
    </w:p>
    <w:p w14:paraId="11BE4D52">
      <w:pPr>
        <w:pStyle w:val="7"/>
        <w:ind w:firstLine="0"/>
        <w:rPr>
          <w:rFonts w:hint="eastAsia"/>
          <w:spacing w:val="12"/>
          <w:sz w:val="32"/>
          <w:szCs w:val="32"/>
        </w:rPr>
      </w:pPr>
    </w:p>
    <w:p w14:paraId="74AF0086">
      <w:pPr>
        <w:spacing w:line="360" w:lineRule="auto"/>
        <w:ind w:firstLine="2417" w:firstLineChars="700"/>
        <w:jc w:val="left"/>
        <w:rPr>
          <w:rFonts w:hint="eastAsia" w:eastAsia="宋体"/>
          <w:b/>
          <w:bCs/>
          <w:spacing w:val="12"/>
          <w:sz w:val="32"/>
          <w:szCs w:val="32"/>
          <w:lang w:eastAsia="zh-CN"/>
        </w:rPr>
      </w:pPr>
      <w:r>
        <w:rPr>
          <w:rFonts w:hint="eastAsia"/>
          <w:b/>
          <w:bCs/>
          <w:spacing w:val="12"/>
          <w:sz w:val="32"/>
          <w:szCs w:val="32"/>
        </w:rPr>
        <w:t>采购人：渭南市华州区人民医院</w:t>
      </w:r>
    </w:p>
    <w:p w14:paraId="72382742">
      <w:pPr>
        <w:spacing w:line="360" w:lineRule="auto"/>
        <w:ind w:firstLine="2417" w:firstLineChars="700"/>
        <w:rPr>
          <w:rFonts w:hint="eastAsia" w:eastAsia="宋体"/>
          <w:b/>
          <w:bCs/>
          <w:spacing w:val="12"/>
          <w:sz w:val="32"/>
          <w:szCs w:val="32"/>
          <w:lang w:eastAsia="zh-CN"/>
        </w:rPr>
      </w:pPr>
      <w:r>
        <w:rPr>
          <w:rFonts w:hint="eastAsia"/>
          <w:b/>
          <w:bCs/>
          <w:spacing w:val="12"/>
          <w:sz w:val="32"/>
          <w:szCs w:val="32"/>
        </w:rPr>
        <w:t>供应商：</w:t>
      </w:r>
      <w:r>
        <w:rPr>
          <w:rFonts w:hint="eastAsia"/>
          <w:b/>
          <w:bCs/>
          <w:spacing w:val="12"/>
          <w:sz w:val="32"/>
          <w:szCs w:val="32"/>
          <w:lang w:val="en-US" w:eastAsia="zh-CN"/>
        </w:rPr>
        <w:t xml:space="preserve"> </w:t>
      </w:r>
    </w:p>
    <w:p w14:paraId="24C667A0">
      <w:pPr>
        <w:spacing w:line="560" w:lineRule="exact"/>
        <w:rPr>
          <w:rFonts w:hint="eastAsia"/>
          <w:sz w:val="24"/>
        </w:rPr>
        <w:sectPr>
          <w:pgSz w:w="11906" w:h="16838"/>
          <w:pgMar w:top="1417" w:right="1417" w:bottom="1417" w:left="1417" w:header="851" w:footer="992" w:gutter="0"/>
          <w:cols w:space="0" w:num="1"/>
          <w:rtlGutter w:val="0"/>
          <w:docGrid w:type="lines" w:linePitch="312" w:charSpace="0"/>
        </w:sectPr>
      </w:pPr>
    </w:p>
    <w:p w14:paraId="6859AD8A">
      <w:pPr>
        <w:spacing w:line="560" w:lineRule="exact"/>
        <w:rPr>
          <w:rFonts w:hint="eastAsia"/>
          <w:sz w:val="24"/>
        </w:rPr>
      </w:pPr>
      <w:r>
        <w:rPr>
          <w:rFonts w:hint="eastAsia"/>
          <w:sz w:val="24"/>
        </w:rPr>
        <w:t xml:space="preserve">签订地点：渭南市华州区人民医院 </w:t>
      </w:r>
    </w:p>
    <w:p w14:paraId="47413095">
      <w:pPr>
        <w:spacing w:line="560" w:lineRule="exact"/>
        <w:rPr>
          <w:rFonts w:hint="eastAsia"/>
          <w:sz w:val="24"/>
        </w:rPr>
      </w:pPr>
      <w:r>
        <w:rPr>
          <w:rFonts w:hint="eastAsia"/>
          <w:sz w:val="24"/>
          <w:lang w:val="en-US" w:eastAsia="zh-CN"/>
        </w:rPr>
        <w:t>项目</w:t>
      </w:r>
      <w:r>
        <w:rPr>
          <w:rFonts w:hint="eastAsia"/>
          <w:sz w:val="24"/>
        </w:rPr>
        <w:t>编号</w:t>
      </w:r>
      <w:r>
        <w:rPr>
          <w:rFonts w:hint="eastAsia" w:ascii="宋体" w:hAnsi="宋体" w:eastAsia="宋体" w:cs="宋体"/>
          <w:sz w:val="24"/>
        </w:rPr>
        <w:t>：</w:t>
      </w:r>
      <w:r>
        <w:rPr>
          <w:rFonts w:hint="eastAsia" w:ascii="宋体" w:hAnsi="宋体" w:cs="宋体"/>
          <w:sz w:val="24"/>
          <w:lang w:val="en-US" w:eastAsia="zh-CN"/>
        </w:rPr>
        <w:t xml:space="preserve"> </w:t>
      </w:r>
      <w:r>
        <w:rPr>
          <w:rFonts w:hint="eastAsia"/>
          <w:sz w:val="24"/>
        </w:rPr>
        <w:t xml:space="preserve">       </w:t>
      </w:r>
    </w:p>
    <w:p w14:paraId="6B61B578">
      <w:pPr>
        <w:spacing w:line="560" w:lineRule="exact"/>
        <w:rPr>
          <w:rFonts w:hint="eastAsia"/>
          <w:sz w:val="24"/>
        </w:rPr>
      </w:pPr>
      <w:r>
        <w:rPr>
          <w:rFonts w:hint="eastAsia"/>
          <w:sz w:val="24"/>
        </w:rPr>
        <w:t xml:space="preserve">签订时间： </w:t>
      </w:r>
      <w:r>
        <w:rPr>
          <w:rFonts w:hint="eastAsia"/>
          <w:sz w:val="24"/>
          <w:lang w:val="en-US" w:eastAsia="zh-CN"/>
        </w:rPr>
        <w:t xml:space="preserve"> </w:t>
      </w:r>
      <w:r>
        <w:rPr>
          <w:rFonts w:hint="eastAsia"/>
          <w:sz w:val="24"/>
        </w:rPr>
        <w:t xml:space="preserve"> 年  月  日</w:t>
      </w:r>
    </w:p>
    <w:p w14:paraId="2572D409">
      <w:pPr>
        <w:spacing w:line="560" w:lineRule="exact"/>
        <w:rPr>
          <w:rFonts w:hint="eastAsia" w:eastAsia="宋体"/>
          <w:sz w:val="24"/>
          <w:lang w:eastAsia="zh-CN"/>
        </w:rPr>
      </w:pPr>
      <w:r>
        <w:rPr>
          <w:rFonts w:hint="eastAsia"/>
          <w:sz w:val="24"/>
        </w:rPr>
        <w:t>采购人</w:t>
      </w:r>
      <w:r>
        <w:rPr>
          <w:rFonts w:hint="eastAsia"/>
          <w:sz w:val="24"/>
          <w:lang w:eastAsia="zh-CN"/>
        </w:rPr>
        <w:t>（</w:t>
      </w:r>
      <w:r>
        <w:rPr>
          <w:rFonts w:hint="eastAsia"/>
          <w:sz w:val="24"/>
          <w:lang w:val="en-US" w:eastAsia="zh-CN"/>
        </w:rPr>
        <w:t>甲方</w:t>
      </w:r>
      <w:r>
        <w:rPr>
          <w:rFonts w:hint="eastAsia"/>
          <w:sz w:val="24"/>
          <w:lang w:eastAsia="zh-CN"/>
        </w:rPr>
        <w:t>）</w:t>
      </w:r>
      <w:r>
        <w:rPr>
          <w:rFonts w:hint="eastAsia"/>
          <w:sz w:val="24"/>
        </w:rPr>
        <w:t>：渭南市华州区人民医院</w:t>
      </w:r>
    </w:p>
    <w:p w14:paraId="71FBE2A3">
      <w:pPr>
        <w:spacing w:line="560" w:lineRule="exact"/>
        <w:rPr>
          <w:rFonts w:hint="eastAsia" w:eastAsia="宋体"/>
          <w:sz w:val="24"/>
          <w:lang w:eastAsia="zh-CN"/>
        </w:rPr>
      </w:pPr>
      <w:r>
        <w:rPr>
          <w:rFonts w:hint="eastAsia"/>
          <w:sz w:val="24"/>
        </w:rPr>
        <w:t>供应商</w:t>
      </w:r>
      <w:r>
        <w:rPr>
          <w:rFonts w:hint="eastAsia"/>
          <w:sz w:val="24"/>
          <w:lang w:eastAsia="zh-CN"/>
        </w:rPr>
        <w:t>（</w:t>
      </w:r>
      <w:r>
        <w:rPr>
          <w:rFonts w:hint="eastAsia"/>
          <w:sz w:val="24"/>
          <w:lang w:val="en-US" w:eastAsia="zh-CN"/>
        </w:rPr>
        <w:t>乙方</w:t>
      </w:r>
      <w:r>
        <w:rPr>
          <w:rFonts w:hint="eastAsia"/>
          <w:sz w:val="24"/>
          <w:lang w:eastAsia="zh-CN"/>
        </w:rPr>
        <w:t>）</w:t>
      </w:r>
      <w:r>
        <w:rPr>
          <w:rFonts w:hint="eastAsia"/>
          <w:sz w:val="24"/>
        </w:rPr>
        <w:t>：</w:t>
      </w:r>
      <w:r>
        <w:rPr>
          <w:rFonts w:hint="eastAsia"/>
          <w:sz w:val="24"/>
          <w:lang w:val="en-US" w:eastAsia="zh-CN"/>
        </w:rPr>
        <w:t xml:space="preserve"> </w:t>
      </w:r>
    </w:p>
    <w:p w14:paraId="4EBDC1B2">
      <w:pPr>
        <w:spacing w:line="360" w:lineRule="auto"/>
        <w:ind w:firstLine="480" w:firstLineChars="200"/>
        <w:rPr>
          <w:rFonts w:hint="eastAsia"/>
          <w:sz w:val="24"/>
        </w:rPr>
      </w:pPr>
    </w:p>
    <w:p w14:paraId="577088F6">
      <w:pPr>
        <w:spacing w:line="360" w:lineRule="auto"/>
        <w:ind w:firstLine="480" w:firstLineChars="200"/>
        <w:rPr>
          <w:rFonts w:hint="eastAsia"/>
          <w:sz w:val="24"/>
        </w:rPr>
      </w:pPr>
      <w:r>
        <w:rPr>
          <w:rFonts w:hint="eastAsia"/>
          <w:sz w:val="24"/>
        </w:rPr>
        <w:t>根据</w:t>
      </w:r>
      <w:r>
        <w:rPr>
          <w:rFonts w:hint="eastAsia"/>
          <w:b/>
          <w:bCs/>
          <w:sz w:val="24"/>
          <w:u w:val="single"/>
        </w:rPr>
        <w:t>渭南市华州区人民医院医疗设备B超维保服务项目</w:t>
      </w:r>
      <w:r>
        <w:rPr>
          <w:rFonts w:hint="eastAsia"/>
          <w:sz w:val="24"/>
        </w:rPr>
        <w:t>的采购结果，  根据《中华人民共和国</w:t>
      </w:r>
      <w:r>
        <w:rPr>
          <w:rFonts w:hint="eastAsia"/>
          <w:sz w:val="24"/>
          <w:lang w:val="en-US" w:eastAsia="zh-CN"/>
        </w:rPr>
        <w:t>政府采购法</w:t>
      </w:r>
      <w:r>
        <w:rPr>
          <w:rFonts w:hint="eastAsia"/>
          <w:sz w:val="24"/>
        </w:rPr>
        <w:t>》、《</w:t>
      </w:r>
      <w:r>
        <w:rPr>
          <w:rFonts w:hint="eastAsia"/>
          <w:sz w:val="24"/>
          <w:lang w:val="en-US" w:eastAsia="zh-CN"/>
        </w:rPr>
        <w:t>中华人民共和国民法典</w:t>
      </w:r>
      <w:r>
        <w:rPr>
          <w:rFonts w:hint="eastAsia"/>
          <w:sz w:val="24"/>
        </w:rPr>
        <w:t>》和国家相关法律法规规定，在平等自愿互惠互利的基础上，</w:t>
      </w:r>
      <w:r>
        <w:rPr>
          <w:rFonts w:hint="eastAsia"/>
          <w:sz w:val="24"/>
          <w:lang w:val="en-US" w:eastAsia="zh-CN"/>
        </w:rPr>
        <w:t>就本</w:t>
      </w:r>
      <w:r>
        <w:rPr>
          <w:rFonts w:hint="eastAsia"/>
          <w:sz w:val="24"/>
        </w:rPr>
        <w:t>服务有关事项达成一致，一致同意签订本合同如下。</w:t>
      </w:r>
    </w:p>
    <w:p w14:paraId="1F2178EB">
      <w:pPr>
        <w:spacing w:line="360" w:lineRule="auto"/>
        <w:ind w:firstLine="482" w:firstLineChars="200"/>
        <w:rPr>
          <w:rFonts w:hint="eastAsia"/>
          <w:b/>
          <w:sz w:val="24"/>
        </w:rPr>
      </w:pPr>
      <w:r>
        <w:rPr>
          <w:rFonts w:hint="eastAsia"/>
          <w:b/>
          <w:sz w:val="24"/>
        </w:rPr>
        <w:t>一、合同文件</w:t>
      </w:r>
    </w:p>
    <w:p w14:paraId="65FE636F">
      <w:pPr>
        <w:spacing w:line="360" w:lineRule="auto"/>
        <w:ind w:firstLine="480" w:firstLineChars="200"/>
        <w:rPr>
          <w:rFonts w:hint="eastAsia"/>
          <w:sz w:val="24"/>
        </w:rPr>
      </w:pPr>
      <w:r>
        <w:rPr>
          <w:rFonts w:hint="eastAsia"/>
          <w:sz w:val="24"/>
        </w:rPr>
        <w:t>1、协议书条款；</w:t>
      </w:r>
    </w:p>
    <w:p w14:paraId="20E0DA0F">
      <w:pPr>
        <w:spacing w:line="360" w:lineRule="auto"/>
        <w:ind w:firstLine="480" w:firstLineChars="200"/>
        <w:rPr>
          <w:rFonts w:hint="eastAsia"/>
          <w:sz w:val="24"/>
        </w:rPr>
      </w:pPr>
      <w:r>
        <w:rPr>
          <w:rFonts w:hint="eastAsia"/>
          <w:sz w:val="24"/>
        </w:rPr>
        <w:t>2、竞争性磋商文件；</w:t>
      </w:r>
    </w:p>
    <w:p w14:paraId="0C9BA047">
      <w:pPr>
        <w:spacing w:line="360" w:lineRule="auto"/>
        <w:ind w:firstLine="480" w:firstLineChars="200"/>
        <w:rPr>
          <w:rFonts w:hint="eastAsia"/>
          <w:sz w:val="24"/>
        </w:rPr>
      </w:pPr>
      <w:r>
        <w:rPr>
          <w:rFonts w:hint="eastAsia"/>
          <w:sz w:val="24"/>
        </w:rPr>
        <w:t>3、磋商响应文件；</w:t>
      </w:r>
    </w:p>
    <w:p w14:paraId="12E9EEF9">
      <w:pPr>
        <w:spacing w:line="360" w:lineRule="auto"/>
        <w:ind w:firstLine="480" w:firstLineChars="200"/>
        <w:rPr>
          <w:rFonts w:hint="eastAsia"/>
          <w:sz w:val="24"/>
        </w:rPr>
      </w:pPr>
      <w:r>
        <w:rPr>
          <w:rFonts w:hint="eastAsia"/>
          <w:sz w:val="24"/>
        </w:rPr>
        <w:t>4、成交通知书；</w:t>
      </w:r>
    </w:p>
    <w:p w14:paraId="31E11A82">
      <w:pPr>
        <w:spacing w:line="360" w:lineRule="auto"/>
        <w:ind w:firstLine="480" w:firstLineChars="200"/>
        <w:rPr>
          <w:rFonts w:hint="eastAsia"/>
          <w:sz w:val="24"/>
        </w:rPr>
      </w:pPr>
      <w:r>
        <w:rPr>
          <w:rFonts w:hint="eastAsia"/>
          <w:sz w:val="24"/>
        </w:rPr>
        <w:t>5、其他。</w:t>
      </w:r>
    </w:p>
    <w:p w14:paraId="6BFF9EB7">
      <w:pPr>
        <w:spacing w:line="360" w:lineRule="auto"/>
        <w:ind w:firstLine="480" w:firstLineChars="200"/>
        <w:rPr>
          <w:rFonts w:hint="eastAsia"/>
          <w:sz w:val="24"/>
        </w:rPr>
      </w:pPr>
      <w:r>
        <w:rPr>
          <w:rFonts w:hint="eastAsia"/>
          <w:sz w:val="24"/>
        </w:rPr>
        <w:t>上述所指合同文件应认为是互相补充和解释的，但是有模棱两可或互相矛盾之处，以其所列内容顺序为准。</w:t>
      </w:r>
    </w:p>
    <w:p w14:paraId="7EA93ABC">
      <w:pPr>
        <w:autoSpaceDE w:val="0"/>
        <w:autoSpaceDN w:val="0"/>
        <w:adjustRightInd w:val="0"/>
        <w:spacing w:line="360" w:lineRule="auto"/>
        <w:ind w:firstLine="472" w:firstLineChars="196"/>
        <w:jc w:val="left"/>
        <w:rPr>
          <w:rFonts w:hint="eastAsia" w:ascii="宋体" w:hAnsi="宋体"/>
          <w:b/>
          <w:kern w:val="0"/>
          <w:sz w:val="24"/>
        </w:rPr>
      </w:pPr>
      <w:r>
        <w:rPr>
          <w:rFonts w:hint="eastAsia" w:ascii="宋体" w:hAnsi="宋体"/>
          <w:b/>
          <w:kern w:val="0"/>
          <w:sz w:val="24"/>
        </w:rPr>
        <w:t>二、合同价款</w:t>
      </w:r>
    </w:p>
    <w:p w14:paraId="3B382607">
      <w:pPr>
        <w:autoSpaceDE w:val="0"/>
        <w:autoSpaceDN w:val="0"/>
        <w:adjustRightInd w:val="0"/>
        <w:spacing w:line="360" w:lineRule="auto"/>
        <w:ind w:firstLine="470" w:firstLineChars="196"/>
        <w:jc w:val="left"/>
        <w:rPr>
          <w:rFonts w:hint="default" w:ascii="宋体" w:hAnsi="宋体" w:eastAsia="宋体"/>
          <w:kern w:val="0"/>
          <w:sz w:val="24"/>
          <w:highlight w:val="none"/>
          <w:u w:val="single"/>
          <w:lang w:val="en-US" w:eastAsia="zh-CN"/>
        </w:rPr>
      </w:pPr>
      <w:r>
        <w:rPr>
          <w:rFonts w:hint="eastAsia" w:ascii="宋体" w:hAnsi="宋体"/>
          <w:kern w:val="0"/>
          <w:sz w:val="24"/>
          <w:highlight w:val="none"/>
        </w:rPr>
        <w:t>（一）</w:t>
      </w:r>
      <w:r>
        <w:rPr>
          <w:rFonts w:hint="eastAsia" w:ascii="宋体" w:hAnsi="宋体"/>
          <w:bCs/>
          <w:kern w:val="0"/>
          <w:sz w:val="24"/>
          <w:highlight w:val="none"/>
        </w:rPr>
        <w:t>合同总价款（人民币）：大写</w:t>
      </w:r>
      <w:r>
        <w:rPr>
          <w:rFonts w:hint="eastAsia" w:ascii="宋体" w:hAnsi="宋体"/>
          <w:bCs/>
          <w:kern w:val="0"/>
          <w:sz w:val="24"/>
          <w:highlight w:val="none"/>
          <w:u w:val="single"/>
        </w:rPr>
        <w:t xml:space="preserve"> </w:t>
      </w:r>
      <w:r>
        <w:rPr>
          <w:rFonts w:hint="eastAsia" w:ascii="宋体" w:hAnsi="宋体"/>
          <w:bCs/>
          <w:kern w:val="0"/>
          <w:sz w:val="24"/>
          <w:highlight w:val="none"/>
          <w:u w:val="single"/>
          <w:lang w:val="en-US" w:eastAsia="zh-CN"/>
        </w:rPr>
        <w:t xml:space="preserve">              </w:t>
      </w:r>
      <w:r>
        <w:rPr>
          <w:rFonts w:hint="eastAsia" w:ascii="宋体" w:hAnsi="宋体"/>
          <w:bCs/>
          <w:kern w:val="0"/>
          <w:sz w:val="24"/>
          <w:highlight w:val="none"/>
        </w:rPr>
        <w:t>；小写</w:t>
      </w:r>
      <w:r>
        <w:rPr>
          <w:rFonts w:hint="eastAsia" w:ascii="宋体" w:hAnsi="宋体"/>
          <w:kern w:val="0"/>
          <w:sz w:val="24"/>
          <w:highlight w:val="none"/>
        </w:rPr>
        <w:t>¥</w:t>
      </w:r>
      <w:r>
        <w:rPr>
          <w:rFonts w:hint="eastAsia" w:ascii="宋体" w:hAnsi="宋体"/>
          <w:bCs/>
          <w:kern w:val="0"/>
          <w:sz w:val="24"/>
          <w:highlight w:val="none"/>
          <w:u w:val="single"/>
        </w:rPr>
        <w:t xml:space="preserve"> </w:t>
      </w:r>
      <w:r>
        <w:rPr>
          <w:rFonts w:hint="eastAsia" w:ascii="宋体" w:hAnsi="宋体"/>
          <w:bCs/>
          <w:kern w:val="0"/>
          <w:sz w:val="24"/>
          <w:highlight w:val="none"/>
          <w:u w:val="single"/>
          <w:lang w:val="en-US" w:eastAsia="zh-CN"/>
        </w:rPr>
        <w:t xml:space="preserve">              </w:t>
      </w:r>
      <w:r>
        <w:rPr>
          <w:rFonts w:hint="eastAsia" w:ascii="宋体" w:hAnsi="宋体"/>
          <w:bCs/>
          <w:kern w:val="0"/>
          <w:sz w:val="24"/>
          <w:highlight w:val="none"/>
        </w:rPr>
        <w:t>元</w:t>
      </w:r>
      <w:r>
        <w:rPr>
          <w:rFonts w:hint="eastAsia" w:ascii="宋体" w:hAnsi="宋体"/>
          <w:kern w:val="0"/>
          <w:sz w:val="24"/>
          <w:highlight w:val="none"/>
          <w:lang w:eastAsia="zh-CN"/>
        </w:rPr>
        <w:t>，</w:t>
      </w:r>
    </w:p>
    <w:p w14:paraId="2A528C07">
      <w:pPr>
        <w:spacing w:line="360" w:lineRule="auto"/>
        <w:ind w:firstLine="480" w:firstLineChars="200"/>
        <w:rPr>
          <w:rFonts w:hint="eastAsia" w:eastAsia="宋体"/>
          <w:sz w:val="24"/>
          <w:highlight w:val="none"/>
          <w:lang w:eastAsia="zh-CN"/>
        </w:rPr>
      </w:pPr>
      <w:r>
        <w:rPr>
          <w:rFonts w:hint="eastAsia" w:ascii="宋体" w:hAnsi="宋体"/>
          <w:kern w:val="0"/>
          <w:sz w:val="24"/>
          <w:highlight w:val="none"/>
        </w:rPr>
        <w:t>（二）合同总价款是指包括本次项目所需的日常巡检与保养费，维修（包括配件更换）费，培训费、配件费、安装费、验收费、交通费等服务的全部费用</w:t>
      </w:r>
      <w:r>
        <w:rPr>
          <w:rFonts w:hint="eastAsia" w:ascii="宋体" w:hAnsi="宋体"/>
          <w:kern w:val="0"/>
          <w:sz w:val="24"/>
          <w:highlight w:val="none"/>
          <w:lang w:eastAsia="zh-CN"/>
        </w:rPr>
        <w:t>。</w:t>
      </w:r>
    </w:p>
    <w:p w14:paraId="68768BAC">
      <w:pPr>
        <w:spacing w:line="360" w:lineRule="auto"/>
        <w:ind w:firstLine="482" w:firstLineChars="200"/>
        <w:rPr>
          <w:rFonts w:hint="eastAsia" w:ascii="宋体" w:hAnsi="宋体"/>
          <w:b/>
          <w:kern w:val="0"/>
          <w:sz w:val="24"/>
        </w:rPr>
      </w:pPr>
      <w:r>
        <w:rPr>
          <w:rFonts w:hint="eastAsia" w:ascii="宋体" w:hAnsi="宋体"/>
          <w:b/>
          <w:kern w:val="0"/>
          <w:sz w:val="24"/>
        </w:rPr>
        <w:t>三、款项结算</w:t>
      </w:r>
    </w:p>
    <w:p w14:paraId="3883EF1A">
      <w:pPr>
        <w:autoSpaceDE w:val="0"/>
        <w:autoSpaceDN w:val="0"/>
        <w:adjustRightInd w:val="0"/>
        <w:spacing w:line="360" w:lineRule="auto"/>
        <w:ind w:firstLine="470" w:firstLineChars="196"/>
        <w:jc w:val="left"/>
        <w:rPr>
          <w:rFonts w:hint="eastAsia" w:ascii="宋体" w:hAnsi="宋体"/>
          <w:kern w:val="0"/>
          <w:sz w:val="24"/>
        </w:rPr>
      </w:pPr>
      <w:r>
        <w:rPr>
          <w:rFonts w:hint="eastAsia" w:ascii="宋体" w:hAnsi="宋体"/>
          <w:kern w:val="0"/>
          <w:sz w:val="24"/>
        </w:rPr>
        <w:t>（一）合同价款的支付：</w:t>
      </w:r>
      <w:r>
        <w:rPr>
          <w:rFonts w:hint="eastAsia" w:ascii="宋体" w:hAnsi="宋体"/>
          <w:kern w:val="0"/>
          <w:sz w:val="24"/>
          <w:lang w:val="en-US" w:eastAsia="zh-CN"/>
        </w:rPr>
        <w:t>按照季度支付</w:t>
      </w:r>
      <w:r>
        <w:rPr>
          <w:rFonts w:hint="eastAsia" w:ascii="宋体" w:hAnsi="宋体"/>
          <w:kern w:val="0"/>
          <w:sz w:val="24"/>
        </w:rPr>
        <w:t>。</w:t>
      </w:r>
    </w:p>
    <w:p w14:paraId="0E32DD6D">
      <w:pPr>
        <w:autoSpaceDE w:val="0"/>
        <w:autoSpaceDN w:val="0"/>
        <w:adjustRightInd w:val="0"/>
        <w:spacing w:line="360" w:lineRule="auto"/>
        <w:ind w:firstLine="470" w:firstLineChars="196"/>
        <w:jc w:val="left"/>
        <w:rPr>
          <w:rFonts w:hint="eastAsia" w:ascii="宋体" w:hAnsi="宋体"/>
          <w:kern w:val="0"/>
          <w:sz w:val="24"/>
        </w:rPr>
      </w:pPr>
      <w:r>
        <w:rPr>
          <w:rFonts w:hint="eastAsia" w:ascii="宋体" w:hAnsi="宋体"/>
          <w:kern w:val="0"/>
          <w:sz w:val="24"/>
        </w:rPr>
        <w:t>（二）结算方式：银行转账。</w:t>
      </w:r>
    </w:p>
    <w:p w14:paraId="4ED312E6">
      <w:pPr>
        <w:autoSpaceDE w:val="0"/>
        <w:autoSpaceDN w:val="0"/>
        <w:adjustRightInd w:val="0"/>
        <w:spacing w:line="360" w:lineRule="auto"/>
        <w:ind w:firstLine="470" w:firstLineChars="196"/>
        <w:jc w:val="left"/>
        <w:rPr>
          <w:rFonts w:hint="eastAsia" w:ascii="宋体" w:hAnsi="宋体"/>
          <w:kern w:val="0"/>
          <w:sz w:val="24"/>
        </w:rPr>
      </w:pPr>
      <w:r>
        <w:rPr>
          <w:rFonts w:hint="eastAsia" w:ascii="宋体" w:hAnsi="宋体"/>
          <w:kern w:val="0"/>
          <w:sz w:val="24"/>
        </w:rPr>
        <w:t>（三）支付方式：由采购人负责结算，合同签订后，供应商在接受付款前，开具等额发票给采购人。</w:t>
      </w:r>
    </w:p>
    <w:p w14:paraId="6D387D58">
      <w:pPr>
        <w:spacing w:line="360" w:lineRule="auto"/>
        <w:ind w:firstLine="482" w:firstLineChars="200"/>
        <w:rPr>
          <w:rFonts w:hint="default" w:eastAsia="宋体"/>
          <w:b/>
          <w:sz w:val="24"/>
          <w:lang w:val="en-US" w:eastAsia="zh-CN"/>
        </w:rPr>
      </w:pPr>
      <w:bookmarkStart w:id="0" w:name="_Toc12029"/>
      <w:r>
        <w:rPr>
          <w:rFonts w:hint="eastAsia"/>
          <w:b/>
          <w:sz w:val="24"/>
        </w:rPr>
        <w:t>四、服务</w:t>
      </w:r>
      <w:bookmarkEnd w:id="0"/>
      <w:r>
        <w:rPr>
          <w:rFonts w:hint="eastAsia"/>
          <w:b/>
          <w:sz w:val="24"/>
          <w:lang w:val="en-US" w:eastAsia="zh-CN"/>
        </w:rPr>
        <w:t>具体指标要求</w:t>
      </w:r>
    </w:p>
    <w:p w14:paraId="60E5F1B4">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bCs/>
          <w:kern w:val="0"/>
          <w:sz w:val="24"/>
          <w:szCs w:val="21"/>
        </w:rPr>
      </w:pPr>
      <w:r>
        <w:rPr>
          <w:rFonts w:hint="eastAsia" w:ascii="宋体" w:hAnsi="宋体" w:cs="宋体"/>
          <w:b/>
          <w:bCs/>
          <w:kern w:val="0"/>
          <w:sz w:val="24"/>
          <w:szCs w:val="21"/>
        </w:rPr>
        <w:t>（一）服务地点</w:t>
      </w:r>
    </w:p>
    <w:p w14:paraId="21540794">
      <w:pPr>
        <w:widowControl/>
        <w:numPr>
          <w:ilvl w:val="0"/>
          <w:numId w:val="0"/>
        </w:numPr>
        <w:tabs>
          <w:tab w:val="left" w:pos="0"/>
          <w:tab w:val="left" w:pos="437"/>
          <w:tab w:val="left" w:pos="1311"/>
        </w:tabs>
        <w:adjustRightInd w:val="0"/>
        <w:snapToGrid w:val="0"/>
        <w:spacing w:line="360" w:lineRule="auto"/>
        <w:ind w:firstLine="480" w:firstLineChars="200"/>
        <w:jc w:val="left"/>
        <w:rPr>
          <w:rFonts w:hint="eastAsia" w:ascii="宋体" w:hAnsi="宋体" w:cs="宋体"/>
          <w:kern w:val="0"/>
          <w:sz w:val="24"/>
          <w:szCs w:val="21"/>
        </w:rPr>
      </w:pPr>
      <w:r>
        <w:rPr>
          <w:rFonts w:hint="eastAsia" w:ascii="宋体" w:hAnsi="宋体" w:cs="宋体"/>
          <w:kern w:val="0"/>
          <w:sz w:val="24"/>
          <w:szCs w:val="21"/>
          <w:lang w:val="en-US" w:eastAsia="zh-CN"/>
        </w:rPr>
        <w:t>渭南市华州区人民医院</w:t>
      </w:r>
      <w:r>
        <w:rPr>
          <w:rFonts w:hint="eastAsia" w:ascii="宋体" w:hAnsi="宋体" w:cs="宋体"/>
          <w:kern w:val="0"/>
          <w:sz w:val="24"/>
          <w:szCs w:val="21"/>
        </w:rPr>
        <w:t xml:space="preserve"> </w:t>
      </w:r>
    </w:p>
    <w:p w14:paraId="5BD7B05F">
      <w:pPr>
        <w:widowControl/>
        <w:numPr>
          <w:ilvl w:val="0"/>
          <w:numId w:val="1"/>
        </w:numPr>
        <w:tabs>
          <w:tab w:val="left" w:pos="0"/>
          <w:tab w:val="left" w:pos="437"/>
          <w:tab w:val="left" w:pos="1311"/>
        </w:tabs>
        <w:adjustRightInd w:val="0"/>
        <w:snapToGrid w:val="0"/>
        <w:spacing w:line="360" w:lineRule="auto"/>
        <w:ind w:firstLine="482" w:firstLineChars="200"/>
        <w:jc w:val="left"/>
        <w:rPr>
          <w:rFonts w:hint="eastAsia" w:ascii="宋体" w:hAnsi="宋体" w:cs="宋体"/>
          <w:b/>
          <w:bCs/>
          <w:kern w:val="0"/>
          <w:sz w:val="24"/>
          <w:szCs w:val="21"/>
        </w:rPr>
      </w:pPr>
      <w:r>
        <w:rPr>
          <w:rFonts w:hint="eastAsia" w:ascii="宋体" w:hAnsi="宋体" w:cs="宋体"/>
          <w:b/>
          <w:bCs/>
          <w:kern w:val="0"/>
          <w:sz w:val="24"/>
          <w:szCs w:val="21"/>
        </w:rPr>
        <w:t>服务期</w:t>
      </w:r>
    </w:p>
    <w:p w14:paraId="2B89B7CF">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lang w:eastAsia="zh-CN"/>
        </w:rPr>
      </w:pPr>
      <w:r>
        <w:rPr>
          <w:rFonts w:hint="eastAsia" w:ascii="宋体" w:hAnsi="宋体" w:cs="宋体"/>
          <w:kern w:val="0"/>
          <w:sz w:val="24"/>
          <w:szCs w:val="21"/>
        </w:rPr>
        <w:t>合同签订生效后</w:t>
      </w:r>
      <w:r>
        <w:rPr>
          <w:rFonts w:hint="eastAsia" w:ascii="宋体" w:hAnsi="宋体" w:cs="宋体"/>
          <w:kern w:val="0"/>
          <w:sz w:val="24"/>
          <w:szCs w:val="21"/>
          <w:lang w:val="en-US" w:eastAsia="zh-CN"/>
        </w:rPr>
        <w:t>一年</w:t>
      </w:r>
    </w:p>
    <w:p w14:paraId="382DAE75">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bCs/>
          <w:kern w:val="0"/>
          <w:sz w:val="24"/>
          <w:szCs w:val="21"/>
          <w:lang w:val="en-US" w:eastAsia="zh-CN"/>
        </w:rPr>
      </w:pPr>
      <w:r>
        <w:rPr>
          <w:rFonts w:hint="eastAsia" w:ascii="宋体" w:hAnsi="宋体" w:cs="宋体"/>
          <w:b/>
          <w:bCs/>
          <w:kern w:val="0"/>
          <w:sz w:val="24"/>
          <w:szCs w:val="21"/>
        </w:rPr>
        <w:t>（三）</w:t>
      </w:r>
      <w:r>
        <w:rPr>
          <w:rFonts w:hint="eastAsia" w:ascii="宋体" w:hAnsi="宋体" w:cs="宋体"/>
          <w:b/>
          <w:bCs/>
          <w:kern w:val="0"/>
          <w:sz w:val="24"/>
          <w:szCs w:val="21"/>
          <w:lang w:val="en-US" w:eastAsia="zh-CN"/>
        </w:rPr>
        <w:t>服务内容</w:t>
      </w:r>
    </w:p>
    <w:p w14:paraId="69A205C6">
      <w:pPr>
        <w:numPr>
          <w:ilvl w:val="0"/>
          <w:numId w:val="0"/>
        </w:numPr>
        <w:spacing w:line="360" w:lineRule="auto"/>
        <w:ind w:firstLine="480" w:firstLineChars="200"/>
        <w:rPr>
          <w:rFonts w:hint="eastAsia" w:ascii="宋体" w:hAnsi="宋体" w:eastAsia="宋体" w:cs="宋体"/>
          <w:b w:val="0"/>
          <w:bCs w:val="0"/>
          <w:sz w:val="24"/>
          <w:lang w:val="en-US" w:eastAsia="zh-CN"/>
        </w:rPr>
      </w:pPr>
      <w:r>
        <w:rPr>
          <w:rFonts w:hint="eastAsia" w:ascii="宋体" w:hAnsi="宋体" w:eastAsia="宋体" w:cs="宋体"/>
          <w:b w:val="0"/>
          <w:bCs w:val="0"/>
          <w:sz w:val="24"/>
        </w:rPr>
        <w:t>为确设备的正常运行，保障临床诊疗工作顺利开展，现对彩色多普勒超声系统5台设备进行维保服务。</w:t>
      </w:r>
    </w:p>
    <w:p w14:paraId="63D778B3">
      <w:pPr>
        <w:widowControl/>
        <w:tabs>
          <w:tab w:val="left" w:pos="0"/>
          <w:tab w:val="left" w:pos="437"/>
          <w:tab w:val="left" w:pos="1311"/>
        </w:tabs>
        <w:adjustRightInd w:val="0"/>
        <w:snapToGrid w:val="0"/>
        <w:spacing w:line="360" w:lineRule="auto"/>
        <w:ind w:firstLine="482" w:firstLineChars="200"/>
        <w:jc w:val="left"/>
        <w:rPr>
          <w:rFonts w:hint="default" w:ascii="宋体" w:hAnsi="宋体" w:eastAsia="宋体" w:cs="宋体"/>
          <w:b/>
          <w:bCs/>
          <w:kern w:val="0"/>
          <w:sz w:val="24"/>
          <w:szCs w:val="21"/>
          <w:lang w:val="en-US" w:eastAsia="zh-CN"/>
        </w:rPr>
      </w:pPr>
      <w:r>
        <w:rPr>
          <w:rFonts w:hint="eastAsia" w:ascii="宋体" w:hAnsi="宋体" w:cs="宋体"/>
          <w:b/>
          <w:bCs/>
          <w:kern w:val="0"/>
          <w:sz w:val="24"/>
          <w:szCs w:val="21"/>
          <w:lang w:eastAsia="zh-CN"/>
        </w:rPr>
        <w:t>（</w:t>
      </w:r>
      <w:r>
        <w:rPr>
          <w:rFonts w:hint="eastAsia" w:ascii="宋体" w:hAnsi="宋体" w:cs="宋体"/>
          <w:b/>
          <w:bCs/>
          <w:kern w:val="0"/>
          <w:sz w:val="24"/>
          <w:szCs w:val="21"/>
          <w:lang w:val="en-US" w:eastAsia="zh-CN"/>
        </w:rPr>
        <w:t>四</w:t>
      </w:r>
      <w:r>
        <w:rPr>
          <w:rFonts w:hint="eastAsia" w:ascii="宋体" w:hAnsi="宋体" w:cs="宋体"/>
          <w:b/>
          <w:bCs/>
          <w:kern w:val="0"/>
          <w:sz w:val="24"/>
          <w:szCs w:val="21"/>
          <w:lang w:eastAsia="zh-CN"/>
        </w:rPr>
        <w:t>）</w:t>
      </w:r>
      <w:r>
        <w:rPr>
          <w:rFonts w:hint="eastAsia" w:ascii="宋体" w:hAnsi="宋体" w:cs="宋体"/>
          <w:b/>
          <w:bCs/>
          <w:kern w:val="0"/>
          <w:sz w:val="24"/>
          <w:szCs w:val="21"/>
          <w:lang w:val="en-US" w:eastAsia="zh-CN"/>
        </w:rPr>
        <w:t>服务要求</w:t>
      </w:r>
    </w:p>
    <w:p w14:paraId="6955A9E7">
      <w:pPr>
        <w:ind w:firstLine="482" w:firstLineChars="200"/>
        <w:rPr>
          <w:rFonts w:hint="default" w:ascii="宋体" w:hAnsi="宋体" w:eastAsia="宋体" w:cs="宋体"/>
          <w:b/>
          <w:bCs/>
          <w:sz w:val="24"/>
          <w:szCs w:val="24"/>
          <w:highlight w:val="none"/>
          <w:lang w:val="en-US" w:eastAsia="zh-CN"/>
        </w:rPr>
      </w:pPr>
      <w:r>
        <w:rPr>
          <w:rFonts w:hint="eastAsia" w:ascii="宋体" w:hAnsi="宋体" w:cs="宋体"/>
          <w:b/>
          <w:bCs/>
          <w:kern w:val="0"/>
          <w:sz w:val="24"/>
          <w:szCs w:val="21"/>
          <w:lang w:val="en-US" w:eastAsia="zh-CN"/>
        </w:rPr>
        <w:t>1、</w:t>
      </w:r>
      <w:r>
        <w:rPr>
          <w:rFonts w:hint="eastAsia" w:ascii="宋体" w:hAnsi="宋体" w:cs="宋体"/>
          <w:b/>
          <w:bCs/>
          <w:sz w:val="24"/>
          <w:lang w:val="en-US" w:eastAsia="zh-CN"/>
        </w:rPr>
        <w:t>维保设备名称及型号</w:t>
      </w:r>
    </w:p>
    <w:tbl>
      <w:tblPr>
        <w:tblStyle w:val="9"/>
        <w:tblpPr w:leftFromText="180" w:rightFromText="180" w:vertAnchor="text" w:horzAnchor="page" w:tblpX="1087" w:tblpY="225"/>
        <w:tblOverlap w:val="never"/>
        <w:tblW w:w="520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2874"/>
        <w:gridCol w:w="1340"/>
        <w:gridCol w:w="1706"/>
        <w:gridCol w:w="1586"/>
        <w:gridCol w:w="1319"/>
      </w:tblGrid>
      <w:tr w14:paraId="44EB2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440" w:type="pct"/>
            <w:noWrap w:val="0"/>
            <w:vAlign w:val="center"/>
          </w:tcPr>
          <w:p w14:paraId="2F31699D">
            <w:pPr>
              <w:jc w:val="center"/>
              <w:rPr>
                <w:rFonts w:hint="eastAsia" w:ascii="宋体" w:hAnsi="宋体" w:cs="宋体"/>
                <w:b/>
                <w:bCs/>
                <w:sz w:val="24"/>
                <w:szCs w:val="24"/>
              </w:rPr>
            </w:pPr>
            <w:r>
              <w:rPr>
                <w:rFonts w:hint="eastAsia" w:ascii="宋体" w:hAnsi="宋体" w:cs="宋体"/>
                <w:b/>
                <w:bCs/>
                <w:sz w:val="24"/>
                <w:szCs w:val="24"/>
              </w:rPr>
              <w:t>序号</w:t>
            </w:r>
          </w:p>
        </w:tc>
        <w:tc>
          <w:tcPr>
            <w:tcW w:w="1484" w:type="pct"/>
            <w:noWrap w:val="0"/>
            <w:vAlign w:val="center"/>
          </w:tcPr>
          <w:p w14:paraId="1D4A675E">
            <w:pPr>
              <w:jc w:val="center"/>
              <w:rPr>
                <w:rFonts w:hint="default" w:ascii="宋体" w:hAnsi="宋体" w:eastAsia="宋体" w:cs="宋体"/>
                <w:b/>
                <w:bCs/>
                <w:sz w:val="24"/>
                <w:szCs w:val="24"/>
                <w:lang w:val="en-US" w:eastAsia="zh-CN"/>
              </w:rPr>
            </w:pPr>
            <w:r>
              <w:rPr>
                <w:rFonts w:hint="eastAsia" w:ascii="宋体" w:hAnsi="宋体" w:cs="宋体"/>
                <w:b/>
                <w:bCs/>
                <w:sz w:val="24"/>
                <w:szCs w:val="24"/>
                <w:lang w:val="en-US" w:eastAsia="zh-CN"/>
              </w:rPr>
              <w:t>设备名称</w:t>
            </w:r>
          </w:p>
        </w:tc>
        <w:tc>
          <w:tcPr>
            <w:tcW w:w="692" w:type="pct"/>
            <w:noWrap w:val="0"/>
            <w:vAlign w:val="center"/>
          </w:tcPr>
          <w:p w14:paraId="41729D90">
            <w:pPr>
              <w:jc w:val="center"/>
              <w:rPr>
                <w:rFonts w:hint="eastAsia" w:ascii="宋体" w:hAnsi="宋体" w:cs="宋体"/>
                <w:b/>
                <w:bCs/>
                <w:sz w:val="24"/>
                <w:szCs w:val="24"/>
              </w:rPr>
            </w:pPr>
            <w:r>
              <w:rPr>
                <w:rFonts w:hint="eastAsia" w:ascii="宋体" w:hAnsi="宋体" w:cs="宋体"/>
                <w:b/>
                <w:bCs/>
                <w:sz w:val="24"/>
                <w:szCs w:val="24"/>
              </w:rPr>
              <w:t>设备型号</w:t>
            </w:r>
          </w:p>
        </w:tc>
        <w:tc>
          <w:tcPr>
            <w:tcW w:w="881" w:type="pct"/>
            <w:noWrap w:val="0"/>
            <w:vAlign w:val="center"/>
          </w:tcPr>
          <w:p w14:paraId="58EC31DE">
            <w:pPr>
              <w:jc w:val="center"/>
              <w:rPr>
                <w:rFonts w:hint="eastAsia" w:ascii="宋体" w:hAnsi="宋体" w:cs="宋体"/>
                <w:b/>
                <w:bCs/>
                <w:sz w:val="24"/>
                <w:szCs w:val="24"/>
              </w:rPr>
            </w:pPr>
            <w:r>
              <w:rPr>
                <w:rFonts w:hint="eastAsia" w:ascii="宋体" w:hAnsi="宋体" w:cs="宋体"/>
                <w:b/>
                <w:bCs/>
                <w:sz w:val="24"/>
                <w:szCs w:val="24"/>
              </w:rPr>
              <w:t>设备序列号</w:t>
            </w:r>
          </w:p>
        </w:tc>
        <w:tc>
          <w:tcPr>
            <w:tcW w:w="819" w:type="pct"/>
            <w:noWrap w:val="0"/>
            <w:vAlign w:val="center"/>
          </w:tcPr>
          <w:p w14:paraId="439C9098">
            <w:pPr>
              <w:jc w:val="center"/>
              <w:rPr>
                <w:rFonts w:hint="eastAsia" w:ascii="宋体" w:hAnsi="宋体" w:cs="宋体"/>
                <w:b/>
                <w:bCs/>
                <w:sz w:val="24"/>
                <w:szCs w:val="24"/>
              </w:rPr>
            </w:pPr>
            <w:r>
              <w:rPr>
                <w:rFonts w:hint="eastAsia" w:ascii="宋体" w:hAnsi="宋体" w:cs="宋体"/>
                <w:b/>
                <w:bCs/>
                <w:sz w:val="24"/>
                <w:szCs w:val="24"/>
              </w:rPr>
              <w:t>探头型号</w:t>
            </w:r>
          </w:p>
        </w:tc>
        <w:tc>
          <w:tcPr>
            <w:tcW w:w="681" w:type="pct"/>
            <w:noWrap w:val="0"/>
            <w:vAlign w:val="center"/>
          </w:tcPr>
          <w:p w14:paraId="390AD7D0">
            <w:pPr>
              <w:jc w:val="center"/>
              <w:rPr>
                <w:rFonts w:hint="eastAsia" w:ascii="宋体" w:hAnsi="宋体" w:cs="宋体"/>
                <w:b/>
                <w:bCs/>
                <w:sz w:val="24"/>
                <w:szCs w:val="24"/>
              </w:rPr>
            </w:pPr>
            <w:r>
              <w:rPr>
                <w:rFonts w:hint="eastAsia" w:ascii="宋体" w:hAnsi="宋体" w:cs="宋体"/>
                <w:b/>
                <w:bCs/>
                <w:sz w:val="24"/>
                <w:szCs w:val="24"/>
              </w:rPr>
              <w:t>所属科室</w:t>
            </w:r>
          </w:p>
        </w:tc>
      </w:tr>
      <w:tr w14:paraId="66589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440" w:type="pct"/>
            <w:vMerge w:val="restart"/>
            <w:noWrap w:val="0"/>
            <w:vAlign w:val="center"/>
          </w:tcPr>
          <w:p w14:paraId="12869D26">
            <w:pPr>
              <w:jc w:val="center"/>
              <w:rPr>
                <w:rFonts w:ascii="宋体" w:hAnsi="宋体" w:cs="宋体"/>
                <w:sz w:val="24"/>
                <w:szCs w:val="24"/>
              </w:rPr>
            </w:pPr>
            <w:r>
              <w:rPr>
                <w:rFonts w:hint="eastAsia" w:ascii="宋体" w:hAnsi="宋体" w:cs="宋体"/>
                <w:sz w:val="24"/>
                <w:szCs w:val="24"/>
              </w:rPr>
              <w:t>1</w:t>
            </w:r>
          </w:p>
        </w:tc>
        <w:tc>
          <w:tcPr>
            <w:tcW w:w="1484" w:type="pct"/>
            <w:vMerge w:val="restart"/>
            <w:noWrap w:val="0"/>
            <w:vAlign w:val="center"/>
          </w:tcPr>
          <w:p w14:paraId="2DEEC248">
            <w:pPr>
              <w:jc w:val="center"/>
              <w:rPr>
                <w:rFonts w:hint="eastAsia" w:ascii="宋体" w:hAnsi="宋体" w:cs="宋体"/>
                <w:sz w:val="24"/>
                <w:szCs w:val="24"/>
              </w:rPr>
            </w:pPr>
            <w:r>
              <w:rPr>
                <w:rFonts w:hint="eastAsia"/>
                <w:sz w:val="24"/>
                <w:szCs w:val="24"/>
                <w:lang w:val="en-US" w:eastAsia="zh-CN"/>
              </w:rPr>
              <w:t>迈瑞</w:t>
            </w:r>
            <w:r>
              <w:rPr>
                <w:sz w:val="24"/>
                <w:szCs w:val="24"/>
              </w:rPr>
              <w:t>便携式彩色多普勒超声系统</w:t>
            </w:r>
          </w:p>
        </w:tc>
        <w:tc>
          <w:tcPr>
            <w:tcW w:w="692" w:type="pct"/>
            <w:vMerge w:val="restart"/>
            <w:noWrap w:val="0"/>
            <w:vAlign w:val="center"/>
          </w:tcPr>
          <w:p w14:paraId="2222FA56">
            <w:pPr>
              <w:jc w:val="center"/>
              <w:rPr>
                <w:rFonts w:hint="eastAsia" w:ascii="宋体" w:hAnsi="宋体" w:cs="宋体"/>
                <w:sz w:val="24"/>
                <w:szCs w:val="24"/>
              </w:rPr>
            </w:pPr>
            <w:r>
              <w:rPr>
                <w:rFonts w:hint="eastAsia" w:ascii="宋体" w:hAnsi="宋体" w:cs="宋体"/>
                <w:sz w:val="24"/>
                <w:szCs w:val="24"/>
              </w:rPr>
              <w:t>M6</w:t>
            </w:r>
          </w:p>
        </w:tc>
        <w:tc>
          <w:tcPr>
            <w:tcW w:w="881" w:type="pct"/>
            <w:vMerge w:val="restart"/>
            <w:noWrap w:val="0"/>
            <w:vAlign w:val="center"/>
          </w:tcPr>
          <w:p w14:paraId="6640277D">
            <w:pPr>
              <w:jc w:val="center"/>
              <w:rPr>
                <w:rFonts w:hint="eastAsia" w:ascii="宋体" w:hAnsi="宋体" w:cs="宋体"/>
                <w:sz w:val="24"/>
                <w:szCs w:val="24"/>
              </w:rPr>
            </w:pPr>
            <w:r>
              <w:rPr>
                <w:rFonts w:hint="eastAsia" w:ascii="宋体" w:hAnsi="宋体" w:cs="宋体"/>
                <w:sz w:val="24"/>
                <w:szCs w:val="24"/>
              </w:rPr>
              <w:t>9U-88001027</w:t>
            </w:r>
          </w:p>
        </w:tc>
        <w:tc>
          <w:tcPr>
            <w:tcW w:w="819" w:type="pct"/>
            <w:noWrap w:val="0"/>
            <w:vAlign w:val="center"/>
          </w:tcPr>
          <w:p w14:paraId="513A8F8B">
            <w:pPr>
              <w:jc w:val="center"/>
              <w:rPr>
                <w:rFonts w:ascii="宋体" w:hAnsi="宋体" w:cs="宋体"/>
                <w:sz w:val="24"/>
                <w:szCs w:val="24"/>
              </w:rPr>
            </w:pPr>
            <w:r>
              <w:rPr>
                <w:rFonts w:hint="eastAsia" w:ascii="宋体" w:hAnsi="宋体" w:cs="宋体"/>
                <w:sz w:val="24"/>
                <w:szCs w:val="24"/>
              </w:rPr>
              <w:t>3C5s</w:t>
            </w:r>
          </w:p>
        </w:tc>
        <w:tc>
          <w:tcPr>
            <w:tcW w:w="681" w:type="pct"/>
            <w:vMerge w:val="restart"/>
            <w:noWrap w:val="0"/>
            <w:vAlign w:val="center"/>
          </w:tcPr>
          <w:p w14:paraId="13B3F667">
            <w:pPr>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ICU</w:t>
            </w:r>
          </w:p>
        </w:tc>
      </w:tr>
      <w:tr w14:paraId="1CA67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440" w:type="pct"/>
            <w:vMerge w:val="continue"/>
            <w:noWrap w:val="0"/>
            <w:vAlign w:val="center"/>
          </w:tcPr>
          <w:p w14:paraId="3BFE2F2E">
            <w:pPr>
              <w:jc w:val="center"/>
              <w:rPr>
                <w:sz w:val="24"/>
                <w:szCs w:val="24"/>
              </w:rPr>
            </w:pPr>
          </w:p>
        </w:tc>
        <w:tc>
          <w:tcPr>
            <w:tcW w:w="1484" w:type="pct"/>
            <w:vMerge w:val="continue"/>
            <w:noWrap w:val="0"/>
            <w:vAlign w:val="center"/>
          </w:tcPr>
          <w:p w14:paraId="22F962F2">
            <w:pPr>
              <w:jc w:val="center"/>
              <w:rPr>
                <w:sz w:val="24"/>
                <w:szCs w:val="24"/>
              </w:rPr>
            </w:pPr>
          </w:p>
        </w:tc>
        <w:tc>
          <w:tcPr>
            <w:tcW w:w="692" w:type="pct"/>
            <w:vMerge w:val="continue"/>
            <w:noWrap w:val="0"/>
            <w:vAlign w:val="center"/>
          </w:tcPr>
          <w:p w14:paraId="1690846B">
            <w:pPr>
              <w:jc w:val="center"/>
              <w:rPr>
                <w:sz w:val="24"/>
                <w:szCs w:val="24"/>
              </w:rPr>
            </w:pPr>
          </w:p>
        </w:tc>
        <w:tc>
          <w:tcPr>
            <w:tcW w:w="881" w:type="pct"/>
            <w:vMerge w:val="continue"/>
            <w:noWrap w:val="0"/>
            <w:vAlign w:val="center"/>
          </w:tcPr>
          <w:p w14:paraId="34FCC178">
            <w:pPr>
              <w:jc w:val="center"/>
              <w:rPr>
                <w:sz w:val="24"/>
                <w:szCs w:val="24"/>
              </w:rPr>
            </w:pPr>
          </w:p>
        </w:tc>
        <w:tc>
          <w:tcPr>
            <w:tcW w:w="819" w:type="pct"/>
            <w:noWrap w:val="0"/>
            <w:vAlign w:val="center"/>
          </w:tcPr>
          <w:p w14:paraId="34BF9B56">
            <w:pPr>
              <w:jc w:val="center"/>
              <w:rPr>
                <w:rFonts w:ascii="宋体" w:hAnsi="宋体" w:cs="宋体"/>
                <w:sz w:val="24"/>
                <w:szCs w:val="24"/>
              </w:rPr>
            </w:pPr>
            <w:r>
              <w:rPr>
                <w:rFonts w:hint="eastAsia" w:ascii="宋体" w:hAnsi="宋体" w:cs="宋体"/>
                <w:sz w:val="24"/>
                <w:szCs w:val="24"/>
              </w:rPr>
              <w:t>7L4s</w:t>
            </w:r>
          </w:p>
        </w:tc>
        <w:tc>
          <w:tcPr>
            <w:tcW w:w="681" w:type="pct"/>
            <w:vMerge w:val="continue"/>
            <w:noWrap w:val="0"/>
            <w:vAlign w:val="center"/>
          </w:tcPr>
          <w:p w14:paraId="5357EFD7">
            <w:pPr>
              <w:jc w:val="center"/>
              <w:rPr>
                <w:rFonts w:hint="eastAsia" w:ascii="宋体" w:hAnsi="宋体" w:cs="宋体"/>
                <w:sz w:val="24"/>
                <w:szCs w:val="24"/>
              </w:rPr>
            </w:pPr>
          </w:p>
        </w:tc>
      </w:tr>
      <w:tr w14:paraId="33629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440" w:type="pct"/>
            <w:vMerge w:val="restart"/>
            <w:noWrap w:val="0"/>
            <w:vAlign w:val="center"/>
          </w:tcPr>
          <w:p w14:paraId="2BFDF621">
            <w:pPr>
              <w:jc w:val="center"/>
              <w:rPr>
                <w:rFonts w:ascii="宋体" w:hAnsi="宋体" w:cs="宋体"/>
                <w:sz w:val="24"/>
                <w:szCs w:val="24"/>
              </w:rPr>
            </w:pPr>
            <w:r>
              <w:rPr>
                <w:rFonts w:hint="eastAsia" w:ascii="宋体" w:hAnsi="宋体" w:cs="宋体"/>
                <w:sz w:val="24"/>
                <w:szCs w:val="24"/>
              </w:rPr>
              <w:t>2</w:t>
            </w:r>
          </w:p>
        </w:tc>
        <w:tc>
          <w:tcPr>
            <w:tcW w:w="1484" w:type="pct"/>
            <w:vMerge w:val="restart"/>
            <w:noWrap w:val="0"/>
            <w:vAlign w:val="center"/>
          </w:tcPr>
          <w:p w14:paraId="619EC17E">
            <w:pPr>
              <w:jc w:val="center"/>
              <w:rPr>
                <w:rFonts w:hint="eastAsia" w:ascii="宋体" w:hAnsi="宋体" w:cs="宋体"/>
                <w:sz w:val="24"/>
                <w:szCs w:val="24"/>
              </w:rPr>
            </w:pPr>
            <w:r>
              <w:rPr>
                <w:rFonts w:hint="eastAsia"/>
                <w:sz w:val="24"/>
                <w:szCs w:val="24"/>
                <w:lang w:val="en-US" w:eastAsia="zh-CN"/>
              </w:rPr>
              <w:t>迈瑞</w:t>
            </w:r>
            <w:r>
              <w:rPr>
                <w:sz w:val="24"/>
                <w:szCs w:val="24"/>
              </w:rPr>
              <w:t>便携式彩色多普勒超声系统</w:t>
            </w:r>
          </w:p>
        </w:tc>
        <w:tc>
          <w:tcPr>
            <w:tcW w:w="692" w:type="pct"/>
            <w:vMerge w:val="restart"/>
            <w:noWrap w:val="0"/>
            <w:vAlign w:val="center"/>
          </w:tcPr>
          <w:p w14:paraId="79D257E2">
            <w:pPr>
              <w:jc w:val="center"/>
              <w:rPr>
                <w:rFonts w:hint="eastAsia" w:ascii="宋体" w:hAnsi="宋体" w:cs="宋体"/>
                <w:sz w:val="24"/>
                <w:szCs w:val="24"/>
              </w:rPr>
            </w:pPr>
            <w:r>
              <w:rPr>
                <w:rFonts w:hint="eastAsia" w:ascii="宋体" w:hAnsi="宋体" w:cs="宋体"/>
                <w:sz w:val="24"/>
                <w:szCs w:val="24"/>
              </w:rPr>
              <w:t>M6</w:t>
            </w:r>
          </w:p>
        </w:tc>
        <w:tc>
          <w:tcPr>
            <w:tcW w:w="881" w:type="pct"/>
            <w:vMerge w:val="restart"/>
            <w:noWrap w:val="0"/>
            <w:vAlign w:val="center"/>
          </w:tcPr>
          <w:p w14:paraId="53B0E71E">
            <w:pPr>
              <w:jc w:val="center"/>
              <w:rPr>
                <w:rFonts w:hint="eastAsia" w:ascii="宋体" w:hAnsi="宋体" w:cs="宋体"/>
                <w:sz w:val="24"/>
                <w:szCs w:val="24"/>
              </w:rPr>
            </w:pPr>
            <w:r>
              <w:rPr>
                <w:rFonts w:hint="eastAsia" w:ascii="宋体" w:hAnsi="宋体" w:cs="宋体"/>
                <w:sz w:val="24"/>
                <w:szCs w:val="24"/>
              </w:rPr>
              <w:t>9U-88001026</w:t>
            </w:r>
          </w:p>
        </w:tc>
        <w:tc>
          <w:tcPr>
            <w:tcW w:w="819" w:type="pct"/>
            <w:noWrap w:val="0"/>
            <w:vAlign w:val="center"/>
          </w:tcPr>
          <w:p w14:paraId="6ED4B8C6">
            <w:pPr>
              <w:widowControl/>
              <w:spacing w:line="320" w:lineRule="exact"/>
              <w:jc w:val="center"/>
              <w:rPr>
                <w:rFonts w:ascii="宋体" w:hAnsi="宋体" w:cs="宋体"/>
                <w:b/>
                <w:bCs/>
                <w:kern w:val="0"/>
                <w:sz w:val="24"/>
                <w:szCs w:val="24"/>
              </w:rPr>
            </w:pPr>
            <w:r>
              <w:rPr>
                <w:rFonts w:hint="eastAsia" w:ascii="宋体" w:hAnsi="宋体" w:cs="宋体"/>
                <w:sz w:val="24"/>
                <w:szCs w:val="24"/>
              </w:rPr>
              <w:t>3C5s</w:t>
            </w:r>
          </w:p>
        </w:tc>
        <w:tc>
          <w:tcPr>
            <w:tcW w:w="681" w:type="pct"/>
            <w:vMerge w:val="restart"/>
            <w:noWrap w:val="0"/>
            <w:vAlign w:val="center"/>
          </w:tcPr>
          <w:p w14:paraId="1E2EAC5F">
            <w:pPr>
              <w:jc w:val="center"/>
              <w:rPr>
                <w:rFonts w:ascii="宋体" w:hAnsi="宋体" w:cs="宋体"/>
                <w:sz w:val="24"/>
                <w:szCs w:val="24"/>
              </w:rPr>
            </w:pPr>
            <w:r>
              <w:rPr>
                <w:rFonts w:hint="eastAsia" w:ascii="宋体" w:hAnsi="宋体" w:cs="宋体"/>
                <w:sz w:val="24"/>
                <w:szCs w:val="24"/>
              </w:rPr>
              <w:t>超声科</w:t>
            </w:r>
          </w:p>
        </w:tc>
      </w:tr>
      <w:tr w14:paraId="41772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440" w:type="pct"/>
            <w:vMerge w:val="continue"/>
            <w:noWrap w:val="0"/>
            <w:vAlign w:val="center"/>
          </w:tcPr>
          <w:p w14:paraId="6AA1F55F">
            <w:pPr>
              <w:jc w:val="center"/>
              <w:rPr>
                <w:rFonts w:hint="eastAsia" w:ascii="宋体" w:hAnsi="宋体" w:cs="宋体"/>
                <w:sz w:val="24"/>
                <w:szCs w:val="24"/>
              </w:rPr>
            </w:pPr>
          </w:p>
        </w:tc>
        <w:tc>
          <w:tcPr>
            <w:tcW w:w="1484" w:type="pct"/>
            <w:vMerge w:val="continue"/>
            <w:noWrap w:val="0"/>
            <w:vAlign w:val="center"/>
          </w:tcPr>
          <w:p w14:paraId="321723EF">
            <w:pPr>
              <w:jc w:val="center"/>
              <w:rPr>
                <w:rFonts w:hint="eastAsia" w:ascii="宋体" w:hAnsi="宋体" w:cs="宋体"/>
                <w:sz w:val="24"/>
                <w:szCs w:val="24"/>
              </w:rPr>
            </w:pPr>
          </w:p>
        </w:tc>
        <w:tc>
          <w:tcPr>
            <w:tcW w:w="692" w:type="pct"/>
            <w:vMerge w:val="continue"/>
            <w:noWrap w:val="0"/>
            <w:vAlign w:val="center"/>
          </w:tcPr>
          <w:p w14:paraId="740A83D5">
            <w:pPr>
              <w:jc w:val="center"/>
              <w:rPr>
                <w:rFonts w:hint="eastAsia" w:ascii="宋体" w:hAnsi="宋体" w:cs="宋体"/>
                <w:sz w:val="24"/>
                <w:szCs w:val="24"/>
              </w:rPr>
            </w:pPr>
          </w:p>
        </w:tc>
        <w:tc>
          <w:tcPr>
            <w:tcW w:w="881" w:type="pct"/>
            <w:vMerge w:val="continue"/>
            <w:noWrap w:val="0"/>
            <w:vAlign w:val="center"/>
          </w:tcPr>
          <w:p w14:paraId="09B08400">
            <w:pPr>
              <w:jc w:val="center"/>
              <w:rPr>
                <w:rFonts w:hint="eastAsia" w:ascii="宋体" w:hAnsi="宋体" w:cs="宋体"/>
                <w:sz w:val="24"/>
                <w:szCs w:val="24"/>
              </w:rPr>
            </w:pPr>
          </w:p>
        </w:tc>
        <w:tc>
          <w:tcPr>
            <w:tcW w:w="819" w:type="pct"/>
            <w:noWrap w:val="0"/>
            <w:vAlign w:val="center"/>
          </w:tcPr>
          <w:p w14:paraId="6B77CA5F">
            <w:pPr>
              <w:widowControl/>
              <w:spacing w:line="320" w:lineRule="exact"/>
              <w:jc w:val="center"/>
              <w:rPr>
                <w:rFonts w:ascii="宋体" w:hAnsi="宋体" w:cs="宋体"/>
                <w:b/>
                <w:bCs/>
                <w:kern w:val="0"/>
                <w:sz w:val="24"/>
                <w:szCs w:val="24"/>
              </w:rPr>
            </w:pPr>
            <w:r>
              <w:rPr>
                <w:rFonts w:hint="eastAsia" w:ascii="宋体" w:hAnsi="宋体" w:cs="宋体"/>
                <w:sz w:val="24"/>
                <w:szCs w:val="24"/>
              </w:rPr>
              <w:t>7L4s</w:t>
            </w:r>
          </w:p>
        </w:tc>
        <w:tc>
          <w:tcPr>
            <w:tcW w:w="681" w:type="pct"/>
            <w:vMerge w:val="continue"/>
            <w:noWrap w:val="0"/>
            <w:vAlign w:val="center"/>
          </w:tcPr>
          <w:p w14:paraId="0E05E62C">
            <w:pPr>
              <w:jc w:val="center"/>
              <w:rPr>
                <w:rFonts w:hint="eastAsia" w:ascii="宋体" w:hAnsi="宋体" w:cs="宋体"/>
                <w:sz w:val="24"/>
                <w:szCs w:val="24"/>
              </w:rPr>
            </w:pPr>
          </w:p>
        </w:tc>
      </w:tr>
      <w:tr w14:paraId="20628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440" w:type="pct"/>
            <w:vMerge w:val="continue"/>
            <w:noWrap w:val="0"/>
            <w:vAlign w:val="center"/>
          </w:tcPr>
          <w:p w14:paraId="0C38E4BB">
            <w:pPr>
              <w:jc w:val="center"/>
              <w:rPr>
                <w:rFonts w:hint="eastAsia" w:ascii="宋体" w:hAnsi="宋体" w:cs="宋体"/>
                <w:sz w:val="24"/>
                <w:szCs w:val="24"/>
              </w:rPr>
            </w:pPr>
          </w:p>
        </w:tc>
        <w:tc>
          <w:tcPr>
            <w:tcW w:w="1484" w:type="pct"/>
            <w:vMerge w:val="continue"/>
            <w:noWrap w:val="0"/>
            <w:vAlign w:val="center"/>
          </w:tcPr>
          <w:p w14:paraId="4C0E8C96">
            <w:pPr>
              <w:jc w:val="center"/>
              <w:rPr>
                <w:rFonts w:hint="eastAsia" w:ascii="宋体" w:hAnsi="宋体" w:cs="宋体"/>
                <w:sz w:val="24"/>
                <w:szCs w:val="24"/>
              </w:rPr>
            </w:pPr>
          </w:p>
        </w:tc>
        <w:tc>
          <w:tcPr>
            <w:tcW w:w="692" w:type="pct"/>
            <w:vMerge w:val="continue"/>
            <w:noWrap w:val="0"/>
            <w:vAlign w:val="center"/>
          </w:tcPr>
          <w:p w14:paraId="7E263CAE">
            <w:pPr>
              <w:jc w:val="center"/>
              <w:rPr>
                <w:rFonts w:hint="eastAsia" w:ascii="宋体" w:hAnsi="宋体" w:cs="宋体"/>
                <w:sz w:val="24"/>
                <w:szCs w:val="24"/>
              </w:rPr>
            </w:pPr>
          </w:p>
        </w:tc>
        <w:tc>
          <w:tcPr>
            <w:tcW w:w="881" w:type="pct"/>
            <w:vMerge w:val="continue"/>
            <w:noWrap w:val="0"/>
            <w:vAlign w:val="center"/>
          </w:tcPr>
          <w:p w14:paraId="03057C27">
            <w:pPr>
              <w:jc w:val="center"/>
              <w:rPr>
                <w:rFonts w:hint="eastAsia" w:ascii="宋体" w:hAnsi="宋体" w:cs="宋体"/>
                <w:sz w:val="24"/>
                <w:szCs w:val="24"/>
              </w:rPr>
            </w:pPr>
          </w:p>
        </w:tc>
        <w:tc>
          <w:tcPr>
            <w:tcW w:w="819" w:type="pct"/>
            <w:noWrap w:val="0"/>
            <w:vAlign w:val="center"/>
          </w:tcPr>
          <w:p w14:paraId="23BD1936">
            <w:pPr>
              <w:widowControl/>
              <w:spacing w:line="320" w:lineRule="exact"/>
              <w:jc w:val="center"/>
              <w:rPr>
                <w:rFonts w:ascii="宋体" w:hAnsi="宋体" w:cs="宋体"/>
                <w:b/>
                <w:bCs/>
                <w:kern w:val="0"/>
                <w:sz w:val="24"/>
                <w:szCs w:val="24"/>
              </w:rPr>
            </w:pPr>
            <w:r>
              <w:rPr>
                <w:rFonts w:hint="eastAsia" w:ascii="宋体" w:hAnsi="宋体" w:cs="宋体"/>
                <w:sz w:val="24"/>
                <w:szCs w:val="24"/>
              </w:rPr>
              <w:t>2P2s</w:t>
            </w:r>
          </w:p>
        </w:tc>
        <w:tc>
          <w:tcPr>
            <w:tcW w:w="681" w:type="pct"/>
            <w:vMerge w:val="continue"/>
            <w:noWrap w:val="0"/>
            <w:vAlign w:val="center"/>
          </w:tcPr>
          <w:p w14:paraId="06E9C69B">
            <w:pPr>
              <w:jc w:val="center"/>
              <w:rPr>
                <w:rFonts w:hint="eastAsia" w:ascii="宋体" w:hAnsi="宋体" w:cs="宋体"/>
                <w:sz w:val="24"/>
                <w:szCs w:val="24"/>
              </w:rPr>
            </w:pPr>
          </w:p>
        </w:tc>
      </w:tr>
      <w:tr w14:paraId="6240E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440" w:type="pct"/>
            <w:vMerge w:val="restart"/>
            <w:noWrap w:val="0"/>
            <w:vAlign w:val="center"/>
          </w:tcPr>
          <w:p w14:paraId="2E6B46F7">
            <w:pPr>
              <w:jc w:val="center"/>
              <w:rPr>
                <w:rFonts w:ascii="宋体" w:hAnsi="宋体" w:cs="宋体"/>
                <w:sz w:val="24"/>
                <w:szCs w:val="24"/>
              </w:rPr>
            </w:pPr>
            <w:r>
              <w:rPr>
                <w:rFonts w:hint="eastAsia" w:ascii="宋体" w:hAnsi="宋体" w:cs="宋体"/>
                <w:sz w:val="24"/>
                <w:szCs w:val="24"/>
              </w:rPr>
              <w:t>3</w:t>
            </w:r>
          </w:p>
        </w:tc>
        <w:tc>
          <w:tcPr>
            <w:tcW w:w="1484" w:type="pct"/>
            <w:vMerge w:val="restart"/>
            <w:noWrap w:val="0"/>
            <w:vAlign w:val="center"/>
          </w:tcPr>
          <w:p w14:paraId="40324C7D">
            <w:pPr>
              <w:jc w:val="center"/>
              <w:rPr>
                <w:rFonts w:hint="eastAsia" w:ascii="宋体" w:hAnsi="宋体" w:cs="宋体"/>
                <w:sz w:val="24"/>
                <w:szCs w:val="24"/>
              </w:rPr>
            </w:pPr>
            <w:r>
              <w:rPr>
                <w:rFonts w:hint="eastAsia"/>
                <w:sz w:val="24"/>
                <w:szCs w:val="24"/>
                <w:lang w:val="en-US" w:eastAsia="zh-CN"/>
              </w:rPr>
              <w:t>迈瑞</w:t>
            </w:r>
            <w:r>
              <w:rPr>
                <w:sz w:val="24"/>
                <w:szCs w:val="24"/>
              </w:rPr>
              <w:t>彩色多普勒超声系统</w:t>
            </w:r>
          </w:p>
        </w:tc>
        <w:tc>
          <w:tcPr>
            <w:tcW w:w="692" w:type="pct"/>
            <w:vMerge w:val="restart"/>
            <w:noWrap w:val="0"/>
            <w:vAlign w:val="center"/>
          </w:tcPr>
          <w:p w14:paraId="7D0E4204">
            <w:pPr>
              <w:jc w:val="center"/>
              <w:rPr>
                <w:rFonts w:hint="eastAsia" w:ascii="宋体" w:hAnsi="宋体" w:cs="宋体"/>
                <w:sz w:val="24"/>
                <w:szCs w:val="24"/>
              </w:rPr>
            </w:pPr>
            <w:r>
              <w:rPr>
                <w:rFonts w:hint="eastAsia" w:ascii="宋体" w:hAnsi="宋体" w:cs="宋体"/>
                <w:sz w:val="24"/>
                <w:szCs w:val="24"/>
              </w:rPr>
              <w:t>RE8 ELITE</w:t>
            </w:r>
          </w:p>
        </w:tc>
        <w:tc>
          <w:tcPr>
            <w:tcW w:w="881" w:type="pct"/>
            <w:vMerge w:val="restart"/>
            <w:noWrap w:val="0"/>
            <w:vAlign w:val="center"/>
          </w:tcPr>
          <w:p w14:paraId="1FA94BB2">
            <w:pPr>
              <w:jc w:val="center"/>
              <w:rPr>
                <w:rFonts w:hint="eastAsia" w:ascii="宋体" w:hAnsi="宋体" w:cs="宋体"/>
                <w:sz w:val="24"/>
                <w:szCs w:val="24"/>
              </w:rPr>
            </w:pPr>
            <w:r>
              <w:rPr>
                <w:rFonts w:hint="eastAsia" w:ascii="宋体" w:hAnsi="宋体" w:cs="宋体"/>
                <w:sz w:val="24"/>
                <w:szCs w:val="24"/>
              </w:rPr>
              <w:t>JK8-0C000014</w:t>
            </w:r>
          </w:p>
        </w:tc>
        <w:tc>
          <w:tcPr>
            <w:tcW w:w="819" w:type="pct"/>
            <w:noWrap w:val="0"/>
            <w:vAlign w:val="center"/>
          </w:tcPr>
          <w:p w14:paraId="524E4812">
            <w:pPr>
              <w:widowControl/>
              <w:spacing w:line="320" w:lineRule="exact"/>
              <w:jc w:val="center"/>
              <w:rPr>
                <w:rFonts w:hint="eastAsia" w:ascii="宋体" w:hAnsi="宋体" w:cs="宋体"/>
                <w:sz w:val="24"/>
                <w:szCs w:val="24"/>
              </w:rPr>
            </w:pPr>
            <w:r>
              <w:rPr>
                <w:rFonts w:hint="eastAsia" w:ascii="宋体" w:hAnsi="宋体" w:cs="宋体"/>
                <w:sz w:val="24"/>
                <w:szCs w:val="24"/>
              </w:rPr>
              <w:t>SP5-1U</w:t>
            </w:r>
          </w:p>
        </w:tc>
        <w:tc>
          <w:tcPr>
            <w:tcW w:w="681" w:type="pct"/>
            <w:vMerge w:val="restart"/>
            <w:noWrap w:val="0"/>
            <w:vAlign w:val="center"/>
          </w:tcPr>
          <w:p w14:paraId="6703340D">
            <w:pPr>
              <w:jc w:val="center"/>
              <w:rPr>
                <w:rFonts w:hint="eastAsia" w:ascii="宋体" w:hAnsi="宋体" w:cs="宋体"/>
                <w:sz w:val="24"/>
                <w:szCs w:val="24"/>
              </w:rPr>
            </w:pPr>
            <w:r>
              <w:rPr>
                <w:rFonts w:hint="eastAsia" w:ascii="宋体" w:hAnsi="宋体" w:cs="宋体"/>
                <w:sz w:val="24"/>
                <w:szCs w:val="24"/>
              </w:rPr>
              <w:t>超声科</w:t>
            </w:r>
          </w:p>
        </w:tc>
      </w:tr>
      <w:tr w14:paraId="16D03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440" w:type="pct"/>
            <w:vMerge w:val="continue"/>
            <w:noWrap w:val="0"/>
            <w:vAlign w:val="center"/>
          </w:tcPr>
          <w:p w14:paraId="7A4A4AC3">
            <w:pPr>
              <w:jc w:val="center"/>
              <w:rPr>
                <w:rFonts w:hint="eastAsia" w:ascii="宋体" w:hAnsi="宋体" w:cs="宋体"/>
                <w:sz w:val="24"/>
                <w:szCs w:val="24"/>
              </w:rPr>
            </w:pPr>
          </w:p>
        </w:tc>
        <w:tc>
          <w:tcPr>
            <w:tcW w:w="1484" w:type="pct"/>
            <w:vMerge w:val="continue"/>
            <w:noWrap w:val="0"/>
            <w:vAlign w:val="center"/>
          </w:tcPr>
          <w:p w14:paraId="6148D490">
            <w:pPr>
              <w:jc w:val="center"/>
              <w:rPr>
                <w:rFonts w:hint="eastAsia" w:ascii="宋体" w:hAnsi="宋体" w:cs="宋体"/>
                <w:sz w:val="24"/>
                <w:szCs w:val="24"/>
              </w:rPr>
            </w:pPr>
          </w:p>
        </w:tc>
        <w:tc>
          <w:tcPr>
            <w:tcW w:w="692" w:type="pct"/>
            <w:vMerge w:val="continue"/>
            <w:noWrap w:val="0"/>
            <w:vAlign w:val="center"/>
          </w:tcPr>
          <w:p w14:paraId="623F6528">
            <w:pPr>
              <w:jc w:val="center"/>
              <w:rPr>
                <w:rFonts w:hint="eastAsia" w:ascii="宋体" w:hAnsi="宋体" w:cs="宋体"/>
                <w:sz w:val="24"/>
                <w:szCs w:val="24"/>
              </w:rPr>
            </w:pPr>
          </w:p>
        </w:tc>
        <w:tc>
          <w:tcPr>
            <w:tcW w:w="881" w:type="pct"/>
            <w:vMerge w:val="continue"/>
            <w:noWrap w:val="0"/>
            <w:vAlign w:val="center"/>
          </w:tcPr>
          <w:p w14:paraId="41B574F1">
            <w:pPr>
              <w:jc w:val="center"/>
              <w:rPr>
                <w:rFonts w:hint="eastAsia" w:ascii="宋体" w:hAnsi="宋体" w:cs="宋体"/>
                <w:sz w:val="24"/>
                <w:szCs w:val="24"/>
              </w:rPr>
            </w:pPr>
          </w:p>
        </w:tc>
        <w:tc>
          <w:tcPr>
            <w:tcW w:w="819" w:type="pct"/>
            <w:noWrap w:val="0"/>
            <w:vAlign w:val="center"/>
          </w:tcPr>
          <w:p w14:paraId="1022A91C">
            <w:pPr>
              <w:widowControl/>
              <w:spacing w:line="320" w:lineRule="exact"/>
              <w:jc w:val="center"/>
              <w:rPr>
                <w:rFonts w:hint="eastAsia" w:ascii="宋体" w:hAnsi="宋体" w:cs="宋体"/>
                <w:sz w:val="24"/>
                <w:szCs w:val="24"/>
              </w:rPr>
            </w:pPr>
            <w:r>
              <w:rPr>
                <w:rFonts w:hint="eastAsia" w:ascii="宋体" w:hAnsi="宋体" w:cs="宋体"/>
                <w:sz w:val="24"/>
                <w:szCs w:val="24"/>
              </w:rPr>
              <w:t>D8-2U</w:t>
            </w:r>
          </w:p>
        </w:tc>
        <w:tc>
          <w:tcPr>
            <w:tcW w:w="681" w:type="pct"/>
            <w:vMerge w:val="continue"/>
            <w:noWrap w:val="0"/>
            <w:vAlign w:val="center"/>
          </w:tcPr>
          <w:p w14:paraId="3FD25045">
            <w:pPr>
              <w:jc w:val="center"/>
              <w:rPr>
                <w:rFonts w:hint="eastAsia" w:ascii="宋体" w:hAnsi="宋体" w:cs="宋体"/>
                <w:sz w:val="24"/>
                <w:szCs w:val="24"/>
              </w:rPr>
            </w:pPr>
          </w:p>
        </w:tc>
      </w:tr>
      <w:tr w14:paraId="18715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440" w:type="pct"/>
            <w:vMerge w:val="continue"/>
            <w:noWrap w:val="0"/>
            <w:vAlign w:val="center"/>
          </w:tcPr>
          <w:p w14:paraId="4DD1A5F4">
            <w:pPr>
              <w:jc w:val="center"/>
              <w:rPr>
                <w:rFonts w:hint="eastAsia" w:ascii="宋体" w:hAnsi="宋体" w:cs="宋体"/>
                <w:sz w:val="24"/>
                <w:szCs w:val="24"/>
              </w:rPr>
            </w:pPr>
          </w:p>
        </w:tc>
        <w:tc>
          <w:tcPr>
            <w:tcW w:w="1484" w:type="pct"/>
            <w:vMerge w:val="continue"/>
            <w:noWrap w:val="0"/>
            <w:vAlign w:val="center"/>
          </w:tcPr>
          <w:p w14:paraId="0EB984FB">
            <w:pPr>
              <w:jc w:val="center"/>
              <w:rPr>
                <w:rFonts w:hint="eastAsia" w:ascii="宋体" w:hAnsi="宋体" w:cs="宋体"/>
                <w:sz w:val="24"/>
                <w:szCs w:val="24"/>
              </w:rPr>
            </w:pPr>
          </w:p>
        </w:tc>
        <w:tc>
          <w:tcPr>
            <w:tcW w:w="692" w:type="pct"/>
            <w:vMerge w:val="continue"/>
            <w:noWrap w:val="0"/>
            <w:vAlign w:val="center"/>
          </w:tcPr>
          <w:p w14:paraId="2752138B">
            <w:pPr>
              <w:jc w:val="center"/>
              <w:rPr>
                <w:rFonts w:hint="eastAsia" w:ascii="宋体" w:hAnsi="宋体" w:cs="宋体"/>
                <w:sz w:val="24"/>
                <w:szCs w:val="24"/>
              </w:rPr>
            </w:pPr>
          </w:p>
        </w:tc>
        <w:tc>
          <w:tcPr>
            <w:tcW w:w="881" w:type="pct"/>
            <w:vMerge w:val="continue"/>
            <w:noWrap w:val="0"/>
            <w:vAlign w:val="center"/>
          </w:tcPr>
          <w:p w14:paraId="0D8E3BDF">
            <w:pPr>
              <w:jc w:val="center"/>
              <w:rPr>
                <w:rFonts w:hint="eastAsia" w:ascii="宋体" w:hAnsi="宋体" w:cs="宋体"/>
                <w:sz w:val="24"/>
                <w:szCs w:val="24"/>
              </w:rPr>
            </w:pPr>
          </w:p>
        </w:tc>
        <w:tc>
          <w:tcPr>
            <w:tcW w:w="819" w:type="pct"/>
            <w:noWrap w:val="0"/>
            <w:vAlign w:val="center"/>
          </w:tcPr>
          <w:p w14:paraId="42B8D1EE">
            <w:pPr>
              <w:widowControl/>
              <w:spacing w:line="320" w:lineRule="exact"/>
              <w:jc w:val="center"/>
              <w:rPr>
                <w:rFonts w:hint="eastAsia" w:ascii="宋体" w:hAnsi="宋体" w:cs="宋体"/>
                <w:sz w:val="24"/>
                <w:szCs w:val="24"/>
              </w:rPr>
            </w:pPr>
            <w:r>
              <w:rPr>
                <w:rFonts w:hint="eastAsia" w:ascii="宋体" w:hAnsi="宋体" w:cs="宋体"/>
                <w:sz w:val="24"/>
                <w:szCs w:val="24"/>
              </w:rPr>
              <w:t>SC6-1U</w:t>
            </w:r>
          </w:p>
        </w:tc>
        <w:tc>
          <w:tcPr>
            <w:tcW w:w="681" w:type="pct"/>
            <w:vMerge w:val="continue"/>
            <w:noWrap w:val="0"/>
            <w:vAlign w:val="center"/>
          </w:tcPr>
          <w:p w14:paraId="66C78E64">
            <w:pPr>
              <w:jc w:val="center"/>
              <w:rPr>
                <w:rFonts w:hint="eastAsia" w:ascii="宋体" w:hAnsi="宋体" w:cs="宋体"/>
                <w:sz w:val="24"/>
                <w:szCs w:val="24"/>
              </w:rPr>
            </w:pPr>
          </w:p>
        </w:tc>
      </w:tr>
      <w:tr w14:paraId="57D2B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440" w:type="pct"/>
            <w:vMerge w:val="continue"/>
            <w:noWrap w:val="0"/>
            <w:vAlign w:val="center"/>
          </w:tcPr>
          <w:p w14:paraId="046F3170">
            <w:pPr>
              <w:jc w:val="center"/>
              <w:rPr>
                <w:rFonts w:hint="eastAsia" w:ascii="宋体" w:hAnsi="宋体" w:cs="宋体"/>
                <w:sz w:val="24"/>
                <w:szCs w:val="24"/>
              </w:rPr>
            </w:pPr>
          </w:p>
        </w:tc>
        <w:tc>
          <w:tcPr>
            <w:tcW w:w="1484" w:type="pct"/>
            <w:vMerge w:val="continue"/>
            <w:noWrap w:val="0"/>
            <w:vAlign w:val="center"/>
          </w:tcPr>
          <w:p w14:paraId="666087F3">
            <w:pPr>
              <w:jc w:val="center"/>
              <w:rPr>
                <w:rFonts w:hint="eastAsia" w:ascii="宋体" w:hAnsi="宋体" w:cs="宋体"/>
                <w:sz w:val="24"/>
                <w:szCs w:val="24"/>
              </w:rPr>
            </w:pPr>
          </w:p>
        </w:tc>
        <w:tc>
          <w:tcPr>
            <w:tcW w:w="692" w:type="pct"/>
            <w:vMerge w:val="continue"/>
            <w:noWrap w:val="0"/>
            <w:vAlign w:val="center"/>
          </w:tcPr>
          <w:p w14:paraId="671819BE">
            <w:pPr>
              <w:jc w:val="center"/>
              <w:rPr>
                <w:rFonts w:hint="eastAsia" w:ascii="宋体" w:hAnsi="宋体" w:cs="宋体"/>
                <w:sz w:val="24"/>
                <w:szCs w:val="24"/>
              </w:rPr>
            </w:pPr>
          </w:p>
        </w:tc>
        <w:tc>
          <w:tcPr>
            <w:tcW w:w="881" w:type="pct"/>
            <w:vMerge w:val="continue"/>
            <w:noWrap w:val="0"/>
            <w:vAlign w:val="center"/>
          </w:tcPr>
          <w:p w14:paraId="368413F3">
            <w:pPr>
              <w:jc w:val="center"/>
              <w:rPr>
                <w:rFonts w:hint="eastAsia" w:ascii="宋体" w:hAnsi="宋体" w:cs="宋体"/>
                <w:sz w:val="24"/>
                <w:szCs w:val="24"/>
              </w:rPr>
            </w:pPr>
          </w:p>
        </w:tc>
        <w:tc>
          <w:tcPr>
            <w:tcW w:w="819" w:type="pct"/>
            <w:noWrap w:val="0"/>
            <w:vAlign w:val="center"/>
          </w:tcPr>
          <w:p w14:paraId="5ECC04BE">
            <w:pPr>
              <w:widowControl/>
              <w:spacing w:line="320" w:lineRule="exact"/>
              <w:jc w:val="center"/>
              <w:rPr>
                <w:rFonts w:hint="eastAsia" w:ascii="宋体" w:hAnsi="宋体" w:cs="宋体"/>
                <w:sz w:val="24"/>
                <w:szCs w:val="24"/>
              </w:rPr>
            </w:pPr>
            <w:r>
              <w:rPr>
                <w:rFonts w:hint="eastAsia" w:ascii="宋体" w:hAnsi="宋体" w:cs="宋体"/>
                <w:sz w:val="24"/>
                <w:szCs w:val="24"/>
              </w:rPr>
              <w:t>DE10-3U</w:t>
            </w:r>
          </w:p>
        </w:tc>
        <w:tc>
          <w:tcPr>
            <w:tcW w:w="681" w:type="pct"/>
            <w:vMerge w:val="continue"/>
            <w:noWrap w:val="0"/>
            <w:vAlign w:val="center"/>
          </w:tcPr>
          <w:p w14:paraId="6C016881">
            <w:pPr>
              <w:jc w:val="center"/>
              <w:rPr>
                <w:rFonts w:hint="eastAsia" w:ascii="宋体" w:hAnsi="宋体" w:cs="宋体"/>
                <w:sz w:val="24"/>
                <w:szCs w:val="24"/>
              </w:rPr>
            </w:pPr>
          </w:p>
        </w:tc>
      </w:tr>
      <w:tr w14:paraId="64F69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440" w:type="pct"/>
            <w:vMerge w:val="continue"/>
            <w:noWrap w:val="0"/>
            <w:vAlign w:val="center"/>
          </w:tcPr>
          <w:p w14:paraId="582FD025">
            <w:pPr>
              <w:jc w:val="center"/>
              <w:rPr>
                <w:rFonts w:hint="eastAsia" w:ascii="宋体" w:hAnsi="宋体" w:cs="宋体"/>
                <w:sz w:val="24"/>
                <w:szCs w:val="24"/>
              </w:rPr>
            </w:pPr>
          </w:p>
        </w:tc>
        <w:tc>
          <w:tcPr>
            <w:tcW w:w="1484" w:type="pct"/>
            <w:vMerge w:val="continue"/>
            <w:noWrap w:val="0"/>
            <w:vAlign w:val="center"/>
          </w:tcPr>
          <w:p w14:paraId="114EE01A">
            <w:pPr>
              <w:jc w:val="center"/>
              <w:rPr>
                <w:rFonts w:hint="eastAsia" w:ascii="宋体" w:hAnsi="宋体" w:cs="宋体"/>
                <w:sz w:val="24"/>
                <w:szCs w:val="24"/>
              </w:rPr>
            </w:pPr>
          </w:p>
        </w:tc>
        <w:tc>
          <w:tcPr>
            <w:tcW w:w="692" w:type="pct"/>
            <w:vMerge w:val="continue"/>
            <w:noWrap w:val="0"/>
            <w:vAlign w:val="center"/>
          </w:tcPr>
          <w:p w14:paraId="7A5D0C99">
            <w:pPr>
              <w:jc w:val="center"/>
              <w:rPr>
                <w:rFonts w:hint="eastAsia" w:ascii="宋体" w:hAnsi="宋体" w:cs="宋体"/>
                <w:sz w:val="24"/>
                <w:szCs w:val="24"/>
              </w:rPr>
            </w:pPr>
          </w:p>
        </w:tc>
        <w:tc>
          <w:tcPr>
            <w:tcW w:w="881" w:type="pct"/>
            <w:vMerge w:val="continue"/>
            <w:noWrap w:val="0"/>
            <w:vAlign w:val="center"/>
          </w:tcPr>
          <w:p w14:paraId="0D806DDE">
            <w:pPr>
              <w:jc w:val="center"/>
              <w:rPr>
                <w:rFonts w:hint="eastAsia" w:ascii="宋体" w:hAnsi="宋体" w:cs="宋体"/>
                <w:sz w:val="24"/>
                <w:szCs w:val="24"/>
              </w:rPr>
            </w:pPr>
          </w:p>
        </w:tc>
        <w:tc>
          <w:tcPr>
            <w:tcW w:w="819" w:type="pct"/>
            <w:noWrap w:val="0"/>
            <w:vAlign w:val="center"/>
          </w:tcPr>
          <w:p w14:paraId="4BE5978A">
            <w:pPr>
              <w:widowControl/>
              <w:spacing w:line="320" w:lineRule="exact"/>
              <w:jc w:val="center"/>
              <w:rPr>
                <w:rFonts w:hint="eastAsia" w:ascii="宋体" w:hAnsi="宋体" w:cs="宋体"/>
                <w:sz w:val="24"/>
                <w:szCs w:val="24"/>
              </w:rPr>
            </w:pPr>
            <w:r>
              <w:rPr>
                <w:rFonts w:hint="eastAsia" w:ascii="宋体" w:hAnsi="宋体" w:cs="宋体"/>
                <w:sz w:val="24"/>
                <w:szCs w:val="24"/>
              </w:rPr>
              <w:t>L14-5WU</w:t>
            </w:r>
          </w:p>
        </w:tc>
        <w:tc>
          <w:tcPr>
            <w:tcW w:w="681" w:type="pct"/>
            <w:vMerge w:val="continue"/>
            <w:noWrap w:val="0"/>
            <w:vAlign w:val="center"/>
          </w:tcPr>
          <w:p w14:paraId="18E2B873">
            <w:pPr>
              <w:jc w:val="center"/>
              <w:rPr>
                <w:rFonts w:hint="eastAsia" w:ascii="宋体" w:hAnsi="宋体" w:cs="宋体"/>
                <w:sz w:val="24"/>
                <w:szCs w:val="24"/>
              </w:rPr>
            </w:pPr>
          </w:p>
        </w:tc>
      </w:tr>
      <w:tr w14:paraId="2195B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440" w:type="pct"/>
            <w:vMerge w:val="restart"/>
            <w:noWrap w:val="0"/>
            <w:vAlign w:val="center"/>
          </w:tcPr>
          <w:p w14:paraId="09D36D25">
            <w:pPr>
              <w:jc w:val="center"/>
              <w:rPr>
                <w:rFonts w:ascii="宋体" w:hAnsi="宋体" w:cs="宋体"/>
                <w:sz w:val="24"/>
                <w:szCs w:val="24"/>
              </w:rPr>
            </w:pPr>
            <w:r>
              <w:rPr>
                <w:rFonts w:hint="eastAsia" w:ascii="宋体" w:hAnsi="宋体" w:cs="宋体"/>
                <w:sz w:val="24"/>
                <w:szCs w:val="24"/>
              </w:rPr>
              <w:t>4</w:t>
            </w:r>
          </w:p>
        </w:tc>
        <w:tc>
          <w:tcPr>
            <w:tcW w:w="1484" w:type="pct"/>
            <w:vMerge w:val="restart"/>
            <w:noWrap w:val="0"/>
            <w:vAlign w:val="center"/>
          </w:tcPr>
          <w:p w14:paraId="4299B790">
            <w:pPr>
              <w:jc w:val="center"/>
              <w:rPr>
                <w:rFonts w:hint="eastAsia" w:ascii="宋体" w:hAnsi="宋体" w:cs="宋体"/>
                <w:sz w:val="24"/>
                <w:szCs w:val="24"/>
              </w:rPr>
            </w:pPr>
            <w:r>
              <w:rPr>
                <w:rFonts w:hint="eastAsia"/>
                <w:sz w:val="24"/>
                <w:szCs w:val="24"/>
                <w:lang w:val="en-US" w:eastAsia="zh-CN"/>
              </w:rPr>
              <w:t>迈瑞</w:t>
            </w:r>
            <w:r>
              <w:rPr>
                <w:sz w:val="24"/>
                <w:szCs w:val="24"/>
              </w:rPr>
              <w:t>彩色多普勒超声系统</w:t>
            </w:r>
          </w:p>
        </w:tc>
        <w:tc>
          <w:tcPr>
            <w:tcW w:w="692" w:type="pct"/>
            <w:vMerge w:val="restart"/>
            <w:noWrap w:val="0"/>
            <w:vAlign w:val="center"/>
          </w:tcPr>
          <w:p w14:paraId="3762A87B">
            <w:pPr>
              <w:jc w:val="center"/>
              <w:rPr>
                <w:rFonts w:hint="eastAsia" w:ascii="宋体" w:hAnsi="宋体" w:cs="宋体"/>
                <w:sz w:val="24"/>
                <w:szCs w:val="24"/>
              </w:rPr>
            </w:pPr>
            <w:r>
              <w:rPr>
                <w:rFonts w:hint="eastAsia" w:ascii="宋体" w:hAnsi="宋体" w:cs="宋体"/>
                <w:sz w:val="24"/>
                <w:szCs w:val="24"/>
              </w:rPr>
              <w:t>Resona R9</w:t>
            </w:r>
          </w:p>
        </w:tc>
        <w:tc>
          <w:tcPr>
            <w:tcW w:w="881" w:type="pct"/>
            <w:vMerge w:val="restart"/>
            <w:noWrap w:val="0"/>
            <w:vAlign w:val="center"/>
          </w:tcPr>
          <w:p w14:paraId="0F601ACB">
            <w:pPr>
              <w:jc w:val="center"/>
              <w:rPr>
                <w:rFonts w:hint="eastAsia" w:ascii="宋体" w:hAnsi="宋体" w:cs="宋体"/>
                <w:sz w:val="24"/>
                <w:szCs w:val="24"/>
              </w:rPr>
            </w:pPr>
            <w:r>
              <w:rPr>
                <w:rFonts w:hint="eastAsia" w:ascii="宋体" w:hAnsi="宋体" w:cs="宋体"/>
                <w:sz w:val="24"/>
                <w:szCs w:val="24"/>
              </w:rPr>
              <w:t>JA8-33000835</w:t>
            </w:r>
          </w:p>
        </w:tc>
        <w:tc>
          <w:tcPr>
            <w:tcW w:w="819" w:type="pct"/>
            <w:noWrap w:val="0"/>
            <w:vAlign w:val="center"/>
          </w:tcPr>
          <w:p w14:paraId="7B824B5E">
            <w:pPr>
              <w:widowControl/>
              <w:spacing w:line="320" w:lineRule="exact"/>
              <w:jc w:val="center"/>
              <w:rPr>
                <w:rFonts w:ascii="宋体" w:hAnsi="宋体" w:cs="宋体"/>
                <w:sz w:val="24"/>
                <w:szCs w:val="24"/>
              </w:rPr>
            </w:pPr>
            <w:r>
              <w:rPr>
                <w:rFonts w:hint="eastAsia" w:ascii="宋体" w:hAnsi="宋体" w:cs="宋体"/>
                <w:sz w:val="24"/>
                <w:szCs w:val="24"/>
              </w:rPr>
              <w:t>SC6-1U</w:t>
            </w:r>
          </w:p>
        </w:tc>
        <w:tc>
          <w:tcPr>
            <w:tcW w:w="681" w:type="pct"/>
            <w:vMerge w:val="restart"/>
            <w:noWrap w:val="0"/>
            <w:vAlign w:val="center"/>
          </w:tcPr>
          <w:p w14:paraId="7E21B42F">
            <w:pPr>
              <w:jc w:val="center"/>
              <w:rPr>
                <w:rFonts w:hint="eastAsia" w:ascii="宋体" w:hAnsi="宋体" w:cs="宋体"/>
                <w:sz w:val="24"/>
                <w:szCs w:val="24"/>
              </w:rPr>
            </w:pPr>
          </w:p>
          <w:p w14:paraId="67913395">
            <w:pPr>
              <w:jc w:val="center"/>
              <w:rPr>
                <w:rFonts w:ascii="宋体" w:hAnsi="宋体" w:cs="宋体"/>
                <w:sz w:val="24"/>
                <w:szCs w:val="24"/>
              </w:rPr>
            </w:pPr>
            <w:r>
              <w:rPr>
                <w:rFonts w:hint="eastAsia" w:ascii="宋体" w:hAnsi="宋体" w:cs="宋体"/>
                <w:sz w:val="24"/>
                <w:szCs w:val="24"/>
              </w:rPr>
              <w:t>超声科</w:t>
            </w:r>
          </w:p>
          <w:p w14:paraId="2E91CA4A">
            <w:pPr>
              <w:jc w:val="center"/>
              <w:rPr>
                <w:rFonts w:hint="eastAsia" w:ascii="宋体" w:hAnsi="宋体" w:cs="宋体"/>
                <w:sz w:val="24"/>
                <w:szCs w:val="24"/>
              </w:rPr>
            </w:pPr>
          </w:p>
        </w:tc>
      </w:tr>
      <w:tr w14:paraId="08130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440" w:type="pct"/>
            <w:vMerge w:val="continue"/>
            <w:noWrap w:val="0"/>
            <w:vAlign w:val="center"/>
          </w:tcPr>
          <w:p w14:paraId="7B66028C">
            <w:pPr>
              <w:jc w:val="center"/>
              <w:rPr>
                <w:rFonts w:hint="eastAsia" w:ascii="宋体" w:hAnsi="宋体" w:cs="宋体"/>
                <w:sz w:val="24"/>
                <w:szCs w:val="24"/>
              </w:rPr>
            </w:pPr>
          </w:p>
        </w:tc>
        <w:tc>
          <w:tcPr>
            <w:tcW w:w="1484" w:type="pct"/>
            <w:vMerge w:val="continue"/>
            <w:noWrap w:val="0"/>
            <w:vAlign w:val="center"/>
          </w:tcPr>
          <w:p w14:paraId="25C48639">
            <w:pPr>
              <w:jc w:val="center"/>
              <w:rPr>
                <w:rFonts w:hint="eastAsia" w:ascii="宋体" w:hAnsi="宋体" w:cs="宋体"/>
                <w:sz w:val="24"/>
                <w:szCs w:val="24"/>
              </w:rPr>
            </w:pPr>
          </w:p>
        </w:tc>
        <w:tc>
          <w:tcPr>
            <w:tcW w:w="692" w:type="pct"/>
            <w:vMerge w:val="continue"/>
            <w:noWrap w:val="0"/>
            <w:vAlign w:val="center"/>
          </w:tcPr>
          <w:p w14:paraId="2892E6CE">
            <w:pPr>
              <w:jc w:val="center"/>
              <w:rPr>
                <w:rFonts w:hint="eastAsia" w:ascii="宋体" w:hAnsi="宋体" w:cs="宋体"/>
                <w:sz w:val="24"/>
                <w:szCs w:val="24"/>
              </w:rPr>
            </w:pPr>
          </w:p>
        </w:tc>
        <w:tc>
          <w:tcPr>
            <w:tcW w:w="881" w:type="pct"/>
            <w:vMerge w:val="continue"/>
            <w:noWrap w:val="0"/>
            <w:vAlign w:val="center"/>
          </w:tcPr>
          <w:p w14:paraId="04AEF4B4">
            <w:pPr>
              <w:jc w:val="center"/>
              <w:rPr>
                <w:rFonts w:hint="eastAsia" w:ascii="宋体" w:hAnsi="宋体" w:cs="宋体"/>
                <w:sz w:val="24"/>
                <w:szCs w:val="24"/>
              </w:rPr>
            </w:pPr>
          </w:p>
        </w:tc>
        <w:tc>
          <w:tcPr>
            <w:tcW w:w="819" w:type="pct"/>
            <w:noWrap w:val="0"/>
            <w:vAlign w:val="center"/>
          </w:tcPr>
          <w:p w14:paraId="40FABB9C">
            <w:pPr>
              <w:widowControl/>
              <w:spacing w:line="320" w:lineRule="exact"/>
              <w:jc w:val="center"/>
              <w:rPr>
                <w:rFonts w:ascii="宋体" w:hAnsi="宋体" w:cs="宋体"/>
                <w:sz w:val="24"/>
                <w:szCs w:val="24"/>
              </w:rPr>
            </w:pPr>
            <w:r>
              <w:rPr>
                <w:rFonts w:hint="eastAsia" w:ascii="宋体" w:hAnsi="宋体" w:cs="宋体"/>
                <w:sz w:val="24"/>
                <w:szCs w:val="24"/>
              </w:rPr>
              <w:t>L14-5WU</w:t>
            </w:r>
          </w:p>
        </w:tc>
        <w:tc>
          <w:tcPr>
            <w:tcW w:w="681" w:type="pct"/>
            <w:vMerge w:val="continue"/>
            <w:noWrap w:val="0"/>
            <w:vAlign w:val="center"/>
          </w:tcPr>
          <w:p w14:paraId="14BDD36E">
            <w:pPr>
              <w:jc w:val="center"/>
              <w:rPr>
                <w:rFonts w:hint="eastAsia" w:ascii="宋体" w:hAnsi="宋体" w:cs="宋体"/>
                <w:sz w:val="24"/>
                <w:szCs w:val="24"/>
              </w:rPr>
            </w:pPr>
          </w:p>
        </w:tc>
      </w:tr>
      <w:tr w14:paraId="6D57A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440" w:type="pct"/>
            <w:vMerge w:val="continue"/>
            <w:noWrap w:val="0"/>
            <w:vAlign w:val="center"/>
          </w:tcPr>
          <w:p w14:paraId="2E1F6472">
            <w:pPr>
              <w:jc w:val="center"/>
              <w:rPr>
                <w:rFonts w:hint="eastAsia" w:ascii="宋体" w:hAnsi="宋体" w:cs="宋体"/>
                <w:sz w:val="24"/>
                <w:szCs w:val="24"/>
              </w:rPr>
            </w:pPr>
          </w:p>
        </w:tc>
        <w:tc>
          <w:tcPr>
            <w:tcW w:w="1484" w:type="pct"/>
            <w:vMerge w:val="continue"/>
            <w:noWrap w:val="0"/>
            <w:vAlign w:val="center"/>
          </w:tcPr>
          <w:p w14:paraId="32FFC2C4">
            <w:pPr>
              <w:jc w:val="center"/>
              <w:rPr>
                <w:rFonts w:hint="eastAsia" w:ascii="宋体" w:hAnsi="宋体" w:cs="宋体"/>
                <w:sz w:val="24"/>
                <w:szCs w:val="24"/>
              </w:rPr>
            </w:pPr>
          </w:p>
        </w:tc>
        <w:tc>
          <w:tcPr>
            <w:tcW w:w="692" w:type="pct"/>
            <w:vMerge w:val="continue"/>
            <w:noWrap w:val="0"/>
            <w:vAlign w:val="center"/>
          </w:tcPr>
          <w:p w14:paraId="38D5F023">
            <w:pPr>
              <w:jc w:val="center"/>
              <w:rPr>
                <w:rFonts w:hint="eastAsia" w:ascii="宋体" w:hAnsi="宋体" w:cs="宋体"/>
                <w:sz w:val="24"/>
                <w:szCs w:val="24"/>
              </w:rPr>
            </w:pPr>
          </w:p>
        </w:tc>
        <w:tc>
          <w:tcPr>
            <w:tcW w:w="881" w:type="pct"/>
            <w:vMerge w:val="continue"/>
            <w:noWrap w:val="0"/>
            <w:vAlign w:val="center"/>
          </w:tcPr>
          <w:p w14:paraId="6A828C8A">
            <w:pPr>
              <w:jc w:val="center"/>
              <w:rPr>
                <w:rFonts w:hint="eastAsia" w:ascii="宋体" w:hAnsi="宋体" w:cs="宋体"/>
                <w:sz w:val="24"/>
                <w:szCs w:val="24"/>
              </w:rPr>
            </w:pPr>
          </w:p>
        </w:tc>
        <w:tc>
          <w:tcPr>
            <w:tcW w:w="819" w:type="pct"/>
            <w:noWrap w:val="0"/>
            <w:vAlign w:val="center"/>
          </w:tcPr>
          <w:p w14:paraId="21884141">
            <w:pPr>
              <w:widowControl/>
              <w:spacing w:line="320" w:lineRule="exact"/>
              <w:jc w:val="center"/>
              <w:rPr>
                <w:rFonts w:ascii="宋体" w:hAnsi="宋体" w:cs="宋体"/>
                <w:sz w:val="24"/>
                <w:szCs w:val="24"/>
              </w:rPr>
            </w:pPr>
            <w:r>
              <w:rPr>
                <w:rFonts w:hint="eastAsia" w:ascii="宋体" w:hAnsi="宋体" w:cs="宋体"/>
                <w:sz w:val="24"/>
                <w:szCs w:val="24"/>
              </w:rPr>
              <w:t>SP5-1U</w:t>
            </w:r>
          </w:p>
        </w:tc>
        <w:tc>
          <w:tcPr>
            <w:tcW w:w="681" w:type="pct"/>
            <w:vMerge w:val="continue"/>
            <w:noWrap w:val="0"/>
            <w:vAlign w:val="center"/>
          </w:tcPr>
          <w:p w14:paraId="1E3C8E41">
            <w:pPr>
              <w:jc w:val="center"/>
              <w:rPr>
                <w:rFonts w:hint="eastAsia" w:ascii="宋体" w:hAnsi="宋体" w:cs="宋体"/>
                <w:sz w:val="24"/>
                <w:szCs w:val="24"/>
              </w:rPr>
            </w:pPr>
          </w:p>
        </w:tc>
      </w:tr>
      <w:tr w14:paraId="08436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440" w:type="pct"/>
            <w:vMerge w:val="restart"/>
            <w:noWrap w:val="0"/>
            <w:vAlign w:val="center"/>
          </w:tcPr>
          <w:p w14:paraId="6EBFCD7B">
            <w:pPr>
              <w:jc w:val="center"/>
              <w:rPr>
                <w:rFonts w:ascii="宋体" w:hAnsi="宋体" w:cs="宋体"/>
                <w:sz w:val="24"/>
                <w:szCs w:val="24"/>
              </w:rPr>
            </w:pPr>
            <w:r>
              <w:rPr>
                <w:rFonts w:hint="eastAsia" w:ascii="宋体" w:hAnsi="宋体" w:cs="宋体"/>
                <w:sz w:val="24"/>
                <w:szCs w:val="24"/>
              </w:rPr>
              <w:t>5</w:t>
            </w:r>
          </w:p>
        </w:tc>
        <w:tc>
          <w:tcPr>
            <w:tcW w:w="1484" w:type="pct"/>
            <w:vMerge w:val="restart"/>
            <w:noWrap w:val="0"/>
            <w:vAlign w:val="center"/>
          </w:tcPr>
          <w:p w14:paraId="5AB808F0">
            <w:pPr>
              <w:tabs>
                <w:tab w:val="left" w:pos="465"/>
              </w:tabs>
              <w:jc w:val="center"/>
              <w:rPr>
                <w:rFonts w:hint="eastAsia" w:ascii="宋体" w:hAnsi="宋体" w:cs="宋体"/>
                <w:sz w:val="24"/>
                <w:szCs w:val="24"/>
              </w:rPr>
            </w:pPr>
            <w:r>
              <w:rPr>
                <w:rFonts w:hint="eastAsia"/>
                <w:sz w:val="24"/>
                <w:szCs w:val="24"/>
                <w:lang w:val="en-US" w:eastAsia="zh-CN"/>
              </w:rPr>
              <w:t>迈瑞</w:t>
            </w:r>
            <w:r>
              <w:rPr>
                <w:sz w:val="24"/>
                <w:szCs w:val="24"/>
              </w:rPr>
              <w:t>彩色多普勒超声系统</w:t>
            </w:r>
          </w:p>
        </w:tc>
        <w:tc>
          <w:tcPr>
            <w:tcW w:w="692" w:type="pct"/>
            <w:vMerge w:val="restart"/>
            <w:noWrap w:val="0"/>
            <w:vAlign w:val="center"/>
          </w:tcPr>
          <w:p w14:paraId="592D75C0">
            <w:pPr>
              <w:tabs>
                <w:tab w:val="left" w:pos="465"/>
              </w:tabs>
              <w:jc w:val="center"/>
              <w:rPr>
                <w:rFonts w:hint="eastAsia" w:ascii="宋体" w:hAnsi="宋体" w:cs="宋体"/>
                <w:sz w:val="24"/>
                <w:szCs w:val="24"/>
              </w:rPr>
            </w:pPr>
            <w:r>
              <w:rPr>
                <w:rFonts w:hint="eastAsia" w:ascii="宋体" w:hAnsi="宋体" w:cs="宋体"/>
                <w:sz w:val="24"/>
                <w:szCs w:val="24"/>
              </w:rPr>
              <w:t>Nuewa R9</w:t>
            </w:r>
          </w:p>
        </w:tc>
        <w:tc>
          <w:tcPr>
            <w:tcW w:w="881" w:type="pct"/>
            <w:vMerge w:val="restart"/>
            <w:noWrap w:val="0"/>
            <w:vAlign w:val="center"/>
          </w:tcPr>
          <w:p w14:paraId="2A0D46CA">
            <w:pPr>
              <w:jc w:val="center"/>
              <w:rPr>
                <w:rFonts w:hint="eastAsia" w:ascii="宋体" w:hAnsi="宋体" w:cs="宋体"/>
                <w:sz w:val="24"/>
                <w:szCs w:val="24"/>
              </w:rPr>
            </w:pPr>
            <w:r>
              <w:rPr>
                <w:rFonts w:hint="eastAsia" w:ascii="宋体" w:hAnsi="宋体" w:cs="宋体"/>
                <w:sz w:val="24"/>
                <w:szCs w:val="24"/>
              </w:rPr>
              <w:t>LR9-23000076</w:t>
            </w:r>
          </w:p>
        </w:tc>
        <w:tc>
          <w:tcPr>
            <w:tcW w:w="819" w:type="pct"/>
            <w:noWrap w:val="0"/>
            <w:vAlign w:val="center"/>
          </w:tcPr>
          <w:p w14:paraId="0093AAC9">
            <w:pPr>
              <w:widowControl/>
              <w:spacing w:line="320" w:lineRule="exact"/>
              <w:jc w:val="center"/>
              <w:rPr>
                <w:rFonts w:hint="eastAsia" w:ascii="宋体" w:hAnsi="宋体" w:cs="宋体"/>
                <w:sz w:val="24"/>
                <w:szCs w:val="24"/>
              </w:rPr>
            </w:pPr>
            <w:r>
              <w:rPr>
                <w:rFonts w:hint="eastAsia" w:ascii="宋体" w:hAnsi="宋体" w:cs="宋体"/>
                <w:sz w:val="24"/>
                <w:szCs w:val="24"/>
              </w:rPr>
              <w:t>SC6-1U</w:t>
            </w:r>
          </w:p>
        </w:tc>
        <w:tc>
          <w:tcPr>
            <w:tcW w:w="681" w:type="pct"/>
            <w:vMerge w:val="restart"/>
            <w:noWrap w:val="0"/>
            <w:vAlign w:val="center"/>
          </w:tcPr>
          <w:p w14:paraId="4033B208">
            <w:pPr>
              <w:jc w:val="center"/>
              <w:rPr>
                <w:rFonts w:hint="eastAsia" w:ascii="宋体" w:hAnsi="宋体" w:cs="宋体"/>
                <w:sz w:val="24"/>
                <w:szCs w:val="24"/>
              </w:rPr>
            </w:pPr>
            <w:r>
              <w:rPr>
                <w:rFonts w:hint="eastAsia" w:ascii="宋体" w:hAnsi="宋体" w:cs="宋体"/>
                <w:sz w:val="24"/>
                <w:szCs w:val="24"/>
              </w:rPr>
              <w:t>超声科</w:t>
            </w:r>
          </w:p>
        </w:tc>
      </w:tr>
      <w:tr w14:paraId="7D566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440" w:type="pct"/>
            <w:vMerge w:val="continue"/>
            <w:noWrap w:val="0"/>
            <w:vAlign w:val="center"/>
          </w:tcPr>
          <w:p w14:paraId="715383EC">
            <w:pPr>
              <w:jc w:val="center"/>
              <w:rPr>
                <w:sz w:val="24"/>
                <w:szCs w:val="24"/>
              </w:rPr>
            </w:pPr>
          </w:p>
        </w:tc>
        <w:tc>
          <w:tcPr>
            <w:tcW w:w="1484" w:type="pct"/>
            <w:vMerge w:val="continue"/>
            <w:noWrap w:val="0"/>
            <w:vAlign w:val="center"/>
          </w:tcPr>
          <w:p w14:paraId="64844E06">
            <w:pPr>
              <w:jc w:val="center"/>
              <w:rPr>
                <w:sz w:val="24"/>
                <w:szCs w:val="24"/>
              </w:rPr>
            </w:pPr>
          </w:p>
        </w:tc>
        <w:tc>
          <w:tcPr>
            <w:tcW w:w="692" w:type="pct"/>
            <w:vMerge w:val="continue"/>
            <w:noWrap w:val="0"/>
            <w:vAlign w:val="center"/>
          </w:tcPr>
          <w:p w14:paraId="224B3B44">
            <w:pPr>
              <w:jc w:val="center"/>
              <w:rPr>
                <w:sz w:val="24"/>
                <w:szCs w:val="24"/>
              </w:rPr>
            </w:pPr>
          </w:p>
        </w:tc>
        <w:tc>
          <w:tcPr>
            <w:tcW w:w="881" w:type="pct"/>
            <w:vMerge w:val="continue"/>
            <w:noWrap w:val="0"/>
            <w:vAlign w:val="center"/>
          </w:tcPr>
          <w:p w14:paraId="081FE201">
            <w:pPr>
              <w:jc w:val="center"/>
              <w:rPr>
                <w:sz w:val="24"/>
                <w:szCs w:val="24"/>
              </w:rPr>
            </w:pPr>
          </w:p>
        </w:tc>
        <w:tc>
          <w:tcPr>
            <w:tcW w:w="819" w:type="pct"/>
            <w:noWrap w:val="0"/>
            <w:vAlign w:val="center"/>
          </w:tcPr>
          <w:p w14:paraId="16645332">
            <w:pPr>
              <w:widowControl/>
              <w:spacing w:line="320" w:lineRule="exact"/>
              <w:jc w:val="center"/>
              <w:rPr>
                <w:rFonts w:hint="eastAsia" w:ascii="宋体" w:hAnsi="宋体" w:cs="宋体"/>
                <w:sz w:val="24"/>
                <w:szCs w:val="24"/>
              </w:rPr>
            </w:pPr>
            <w:r>
              <w:rPr>
                <w:rFonts w:hint="eastAsia" w:ascii="宋体" w:hAnsi="宋体" w:cs="宋体"/>
                <w:sz w:val="24"/>
                <w:szCs w:val="24"/>
              </w:rPr>
              <w:t>L14-5WU</w:t>
            </w:r>
          </w:p>
        </w:tc>
        <w:tc>
          <w:tcPr>
            <w:tcW w:w="681" w:type="pct"/>
            <w:vMerge w:val="continue"/>
            <w:noWrap w:val="0"/>
            <w:vAlign w:val="center"/>
          </w:tcPr>
          <w:p w14:paraId="7DCABAF7">
            <w:pPr>
              <w:jc w:val="center"/>
              <w:rPr>
                <w:rFonts w:hint="eastAsia" w:ascii="宋体" w:hAnsi="宋体" w:cs="宋体"/>
                <w:b/>
                <w:bCs/>
                <w:kern w:val="0"/>
                <w:sz w:val="24"/>
                <w:szCs w:val="24"/>
              </w:rPr>
            </w:pPr>
          </w:p>
        </w:tc>
      </w:tr>
      <w:tr w14:paraId="49F61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440" w:type="pct"/>
            <w:vMerge w:val="continue"/>
            <w:noWrap w:val="0"/>
            <w:vAlign w:val="center"/>
          </w:tcPr>
          <w:p w14:paraId="15C77B3C">
            <w:pPr>
              <w:jc w:val="center"/>
              <w:rPr>
                <w:rFonts w:hint="eastAsia" w:ascii="宋体" w:hAnsi="宋体" w:cs="宋体"/>
                <w:b/>
                <w:bCs/>
                <w:kern w:val="0"/>
                <w:sz w:val="24"/>
                <w:szCs w:val="24"/>
              </w:rPr>
            </w:pPr>
          </w:p>
        </w:tc>
        <w:tc>
          <w:tcPr>
            <w:tcW w:w="1484" w:type="pct"/>
            <w:vMerge w:val="continue"/>
            <w:noWrap w:val="0"/>
            <w:vAlign w:val="center"/>
          </w:tcPr>
          <w:p w14:paraId="0130004C">
            <w:pPr>
              <w:jc w:val="center"/>
              <w:rPr>
                <w:rFonts w:hint="eastAsia" w:ascii="宋体" w:hAnsi="宋体" w:cs="宋体"/>
                <w:b/>
                <w:bCs/>
                <w:kern w:val="0"/>
                <w:sz w:val="24"/>
                <w:szCs w:val="24"/>
              </w:rPr>
            </w:pPr>
          </w:p>
        </w:tc>
        <w:tc>
          <w:tcPr>
            <w:tcW w:w="692" w:type="pct"/>
            <w:vMerge w:val="continue"/>
            <w:noWrap w:val="0"/>
            <w:vAlign w:val="center"/>
          </w:tcPr>
          <w:p w14:paraId="09FC5925">
            <w:pPr>
              <w:jc w:val="center"/>
              <w:rPr>
                <w:rFonts w:hint="eastAsia" w:ascii="宋体" w:hAnsi="宋体" w:cs="宋体"/>
                <w:b/>
                <w:bCs/>
                <w:kern w:val="0"/>
                <w:sz w:val="24"/>
                <w:szCs w:val="24"/>
              </w:rPr>
            </w:pPr>
          </w:p>
        </w:tc>
        <w:tc>
          <w:tcPr>
            <w:tcW w:w="881" w:type="pct"/>
            <w:vMerge w:val="continue"/>
            <w:noWrap w:val="0"/>
            <w:vAlign w:val="center"/>
          </w:tcPr>
          <w:p w14:paraId="2CBD389A">
            <w:pPr>
              <w:jc w:val="center"/>
              <w:rPr>
                <w:rFonts w:hint="eastAsia" w:ascii="宋体" w:hAnsi="宋体" w:cs="宋体"/>
                <w:b/>
                <w:bCs/>
                <w:kern w:val="0"/>
                <w:sz w:val="24"/>
                <w:szCs w:val="24"/>
              </w:rPr>
            </w:pPr>
          </w:p>
        </w:tc>
        <w:tc>
          <w:tcPr>
            <w:tcW w:w="819" w:type="pct"/>
            <w:noWrap w:val="0"/>
            <w:vAlign w:val="center"/>
          </w:tcPr>
          <w:p w14:paraId="6EAF9793">
            <w:pPr>
              <w:widowControl/>
              <w:spacing w:line="320" w:lineRule="exact"/>
              <w:jc w:val="center"/>
              <w:rPr>
                <w:rFonts w:ascii="宋体" w:hAnsi="宋体" w:cs="宋体"/>
                <w:sz w:val="24"/>
                <w:szCs w:val="24"/>
              </w:rPr>
            </w:pPr>
            <w:r>
              <w:rPr>
                <w:rFonts w:hint="eastAsia" w:ascii="宋体" w:hAnsi="宋体" w:cs="宋体"/>
                <w:sz w:val="24"/>
                <w:szCs w:val="24"/>
              </w:rPr>
              <w:t>DE10-3WU</w:t>
            </w:r>
          </w:p>
        </w:tc>
        <w:tc>
          <w:tcPr>
            <w:tcW w:w="681" w:type="pct"/>
            <w:vMerge w:val="continue"/>
            <w:noWrap w:val="0"/>
            <w:vAlign w:val="center"/>
          </w:tcPr>
          <w:p w14:paraId="43463842">
            <w:pPr>
              <w:jc w:val="center"/>
              <w:rPr>
                <w:rFonts w:hint="eastAsia" w:ascii="宋体" w:hAnsi="宋体" w:cs="宋体"/>
                <w:b/>
                <w:bCs/>
                <w:kern w:val="0"/>
                <w:sz w:val="24"/>
                <w:szCs w:val="24"/>
              </w:rPr>
            </w:pPr>
          </w:p>
        </w:tc>
      </w:tr>
      <w:tr w14:paraId="2589C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440" w:type="pct"/>
            <w:vMerge w:val="continue"/>
            <w:noWrap w:val="0"/>
            <w:vAlign w:val="center"/>
          </w:tcPr>
          <w:p w14:paraId="3650F88F">
            <w:pPr>
              <w:jc w:val="center"/>
              <w:rPr>
                <w:rFonts w:hint="eastAsia" w:ascii="宋体" w:hAnsi="宋体" w:cs="宋体"/>
                <w:b/>
                <w:bCs/>
                <w:kern w:val="0"/>
                <w:sz w:val="24"/>
                <w:szCs w:val="24"/>
              </w:rPr>
            </w:pPr>
          </w:p>
        </w:tc>
        <w:tc>
          <w:tcPr>
            <w:tcW w:w="1484" w:type="pct"/>
            <w:vMerge w:val="continue"/>
            <w:noWrap w:val="0"/>
            <w:vAlign w:val="center"/>
          </w:tcPr>
          <w:p w14:paraId="13529F51">
            <w:pPr>
              <w:jc w:val="center"/>
              <w:rPr>
                <w:rFonts w:hint="eastAsia" w:ascii="宋体" w:hAnsi="宋体" w:cs="宋体"/>
                <w:b/>
                <w:bCs/>
                <w:kern w:val="0"/>
                <w:sz w:val="24"/>
                <w:szCs w:val="24"/>
              </w:rPr>
            </w:pPr>
          </w:p>
        </w:tc>
        <w:tc>
          <w:tcPr>
            <w:tcW w:w="692" w:type="pct"/>
            <w:vMerge w:val="continue"/>
            <w:noWrap w:val="0"/>
            <w:vAlign w:val="center"/>
          </w:tcPr>
          <w:p w14:paraId="1DF7EC63">
            <w:pPr>
              <w:jc w:val="center"/>
              <w:rPr>
                <w:rFonts w:hint="eastAsia" w:ascii="宋体" w:hAnsi="宋体" w:cs="宋体"/>
                <w:b/>
                <w:bCs/>
                <w:kern w:val="0"/>
                <w:sz w:val="24"/>
                <w:szCs w:val="24"/>
              </w:rPr>
            </w:pPr>
          </w:p>
        </w:tc>
        <w:tc>
          <w:tcPr>
            <w:tcW w:w="881" w:type="pct"/>
            <w:vMerge w:val="continue"/>
            <w:noWrap w:val="0"/>
            <w:vAlign w:val="center"/>
          </w:tcPr>
          <w:p w14:paraId="10FC8B7A">
            <w:pPr>
              <w:jc w:val="center"/>
              <w:rPr>
                <w:rFonts w:hint="eastAsia" w:ascii="宋体" w:hAnsi="宋体" w:cs="宋体"/>
                <w:b/>
                <w:bCs/>
                <w:kern w:val="0"/>
                <w:sz w:val="24"/>
                <w:szCs w:val="24"/>
              </w:rPr>
            </w:pPr>
          </w:p>
        </w:tc>
        <w:tc>
          <w:tcPr>
            <w:tcW w:w="819" w:type="pct"/>
            <w:noWrap w:val="0"/>
            <w:vAlign w:val="center"/>
          </w:tcPr>
          <w:p w14:paraId="5B977085">
            <w:pPr>
              <w:widowControl/>
              <w:spacing w:line="320" w:lineRule="exact"/>
              <w:jc w:val="center"/>
              <w:rPr>
                <w:rFonts w:ascii="宋体" w:hAnsi="宋体" w:cs="宋体"/>
                <w:sz w:val="24"/>
                <w:szCs w:val="24"/>
              </w:rPr>
            </w:pPr>
            <w:r>
              <w:rPr>
                <w:rFonts w:hint="eastAsia" w:ascii="宋体" w:hAnsi="宋体" w:cs="宋体"/>
                <w:sz w:val="24"/>
                <w:szCs w:val="24"/>
              </w:rPr>
              <w:t>D8-2U</w:t>
            </w:r>
          </w:p>
        </w:tc>
        <w:tc>
          <w:tcPr>
            <w:tcW w:w="681" w:type="pct"/>
            <w:vMerge w:val="continue"/>
            <w:noWrap w:val="0"/>
            <w:vAlign w:val="center"/>
          </w:tcPr>
          <w:p w14:paraId="7A92A552">
            <w:pPr>
              <w:jc w:val="center"/>
              <w:rPr>
                <w:rFonts w:hint="eastAsia" w:ascii="宋体" w:hAnsi="宋体" w:cs="宋体"/>
                <w:b/>
                <w:bCs/>
                <w:kern w:val="0"/>
                <w:sz w:val="24"/>
                <w:szCs w:val="24"/>
              </w:rPr>
            </w:pPr>
          </w:p>
        </w:tc>
      </w:tr>
    </w:tbl>
    <w:p w14:paraId="19832FD0">
      <w:pPr>
        <w:ind w:firstLine="482" w:firstLineChars="200"/>
        <w:rPr>
          <w:rFonts w:hint="default"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t>2、维保服务具体要求</w:t>
      </w:r>
    </w:p>
    <w:p w14:paraId="155581C3">
      <w:pPr>
        <w:spacing w:line="360" w:lineRule="auto"/>
        <w:ind w:firstLine="482" w:firstLineChars="200"/>
        <w:rPr>
          <w:rFonts w:hint="eastAsia" w:ascii="宋体" w:hAnsi="宋体" w:cs="宋体"/>
          <w:b w:val="0"/>
          <w:bCs w:val="0"/>
          <w:sz w:val="24"/>
          <w:szCs w:val="24"/>
          <w:highlight w:val="none"/>
          <w:lang w:val="en-US" w:eastAsia="zh-CN"/>
        </w:rPr>
      </w:pPr>
      <w:r>
        <w:rPr>
          <w:rFonts w:hint="eastAsia" w:ascii="宋体" w:hAnsi="宋体" w:cs="宋体"/>
          <w:b/>
          <w:bCs/>
          <w:sz w:val="24"/>
          <w:szCs w:val="24"/>
          <w:highlight w:val="none"/>
          <w:lang w:val="en-US" w:eastAsia="zh-CN"/>
        </w:rPr>
        <w:t>（1）保修范围</w:t>
      </w:r>
    </w:p>
    <w:p w14:paraId="07A9E307">
      <w:pPr>
        <w:spacing w:line="360" w:lineRule="auto"/>
        <w:ind w:firstLine="480" w:firstLineChars="200"/>
        <w:rPr>
          <w:rFonts w:hint="eastAsia"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1.1提供B超维保范围B超整机全部软硬件，包括设备主机、显示器、控制单元、电源系统、所有原配探头及缆线、脚踏开关等全部硬件和系统软件。</w:t>
      </w:r>
    </w:p>
    <w:p w14:paraId="68144841">
      <w:pPr>
        <w:spacing w:line="360" w:lineRule="auto"/>
        <w:ind w:firstLine="480" w:firstLineChars="200"/>
        <w:rPr>
          <w:rFonts w:hint="eastAsia"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1.2 须提供整机保修一年，并根据采购人要求为每台B超更换任意一把探头，并保证为原厂备件。</w:t>
      </w:r>
    </w:p>
    <w:p w14:paraId="287FB62F">
      <w:pPr>
        <w:spacing w:line="360" w:lineRule="auto"/>
        <w:ind w:firstLine="482" w:firstLineChars="200"/>
        <w:rPr>
          <w:rFonts w:hint="eastAsia"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t>（2）服务标准与响应要求</w:t>
      </w:r>
    </w:p>
    <w:p w14:paraId="0CF68691">
      <w:pPr>
        <w:spacing w:line="360" w:lineRule="auto"/>
        <w:ind w:firstLine="480" w:firstLineChars="200"/>
        <w:rPr>
          <w:rFonts w:hint="eastAsia"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2.1技术支持与响应：提供7×24小时免费技术服务热线。</w:t>
      </w:r>
    </w:p>
    <w:p w14:paraId="0F8FD603">
      <w:pPr>
        <w:spacing w:line="360" w:lineRule="auto"/>
        <w:ind w:firstLine="480" w:firstLineChars="200"/>
        <w:rPr>
          <w:rFonts w:hint="eastAsia"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2.2故障响应： 供应商接到医院报修电话后，</w:t>
      </w:r>
      <w:r>
        <w:rPr>
          <w:rFonts w:hint="eastAsia" w:ascii="宋体" w:hAnsi="宋体" w:eastAsia="宋体" w:cs="宋体"/>
          <w:b w:val="0"/>
          <w:bCs w:val="0"/>
          <w:sz w:val="24"/>
          <w:szCs w:val="24"/>
          <w:highlight w:val="none"/>
          <w:lang w:val="en-US" w:eastAsia="zh-CN"/>
        </w:rPr>
        <w:t>≦</w:t>
      </w:r>
      <w:r>
        <w:rPr>
          <w:rFonts w:hint="eastAsia" w:ascii="宋体" w:hAnsi="宋体" w:cs="宋体"/>
          <w:b w:val="0"/>
          <w:bCs w:val="0"/>
          <w:sz w:val="24"/>
          <w:szCs w:val="24"/>
          <w:highlight w:val="none"/>
          <w:lang w:val="en-US" w:eastAsia="zh-CN"/>
        </w:rPr>
        <w:t>15分钟电话响应，</w:t>
      </w:r>
      <w:r>
        <w:rPr>
          <w:rFonts w:hint="eastAsia" w:ascii="宋体" w:hAnsi="宋体" w:eastAsia="宋体" w:cs="宋体"/>
          <w:b w:val="0"/>
          <w:bCs w:val="0"/>
          <w:sz w:val="24"/>
          <w:szCs w:val="24"/>
          <w:highlight w:val="none"/>
          <w:lang w:val="en-US" w:eastAsia="zh-CN"/>
        </w:rPr>
        <w:t>≦</w:t>
      </w:r>
      <w:r>
        <w:rPr>
          <w:rFonts w:hint="eastAsia" w:ascii="宋体" w:hAnsi="宋体" w:cs="宋体"/>
          <w:b w:val="0"/>
          <w:bCs w:val="0"/>
          <w:sz w:val="24"/>
          <w:szCs w:val="24"/>
          <w:highlight w:val="none"/>
          <w:lang w:val="en-US" w:eastAsia="zh-CN"/>
        </w:rPr>
        <w:t>2小时提供远程技术指导或解决方案。</w:t>
      </w:r>
    </w:p>
    <w:p w14:paraId="1E8375AA">
      <w:pPr>
        <w:spacing w:line="360" w:lineRule="auto"/>
        <w:ind w:firstLine="480" w:firstLineChars="200"/>
        <w:rPr>
          <w:rFonts w:hint="eastAsia"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2.3现场响应： 需现场服务的，维保工程师应在</w:t>
      </w:r>
      <w:r>
        <w:rPr>
          <w:rFonts w:hint="eastAsia" w:ascii="宋体" w:hAnsi="宋体" w:eastAsia="宋体" w:cs="宋体"/>
          <w:b w:val="0"/>
          <w:bCs w:val="0"/>
          <w:sz w:val="24"/>
          <w:szCs w:val="24"/>
          <w:highlight w:val="none"/>
          <w:lang w:val="en-US" w:eastAsia="zh-CN"/>
        </w:rPr>
        <w:t>≦</w:t>
      </w:r>
      <w:r>
        <w:rPr>
          <w:rFonts w:hint="eastAsia" w:ascii="宋体" w:hAnsi="宋体" w:cs="宋体"/>
          <w:b w:val="0"/>
          <w:bCs w:val="0"/>
          <w:sz w:val="24"/>
          <w:szCs w:val="24"/>
          <w:highlight w:val="none"/>
          <w:lang w:val="en-US" w:eastAsia="zh-CN"/>
        </w:rPr>
        <w:t xml:space="preserve">8个工作小时抵达设备现场。  </w:t>
      </w:r>
    </w:p>
    <w:p w14:paraId="23B6E054">
      <w:pPr>
        <w:spacing w:line="360" w:lineRule="auto"/>
        <w:ind w:firstLine="480" w:firstLineChars="200"/>
        <w:rPr>
          <w:rFonts w:hint="eastAsia"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2.4故障修复时限：一般性故障：</w:t>
      </w:r>
      <w:r>
        <w:rPr>
          <w:rFonts w:hint="eastAsia" w:ascii="宋体" w:hAnsi="宋体" w:eastAsia="宋体" w:cs="宋体"/>
          <w:b w:val="0"/>
          <w:bCs w:val="0"/>
          <w:sz w:val="24"/>
          <w:szCs w:val="24"/>
          <w:highlight w:val="none"/>
          <w:lang w:val="en-US" w:eastAsia="zh-CN"/>
        </w:rPr>
        <w:t>≦</w:t>
      </w:r>
      <w:r>
        <w:rPr>
          <w:rFonts w:hint="eastAsia" w:ascii="宋体" w:hAnsi="宋体" w:cs="宋体"/>
          <w:b w:val="0"/>
          <w:bCs w:val="0"/>
          <w:sz w:val="24"/>
          <w:szCs w:val="24"/>
          <w:highlight w:val="none"/>
          <w:lang w:val="en-US" w:eastAsia="zh-CN"/>
        </w:rPr>
        <w:t>24小时内修复。重大复杂故障：若48小时内无法修复，应在征得医院同意后，立即提供相同或更高档次的备用设备供临床应急使用，直至原设备修复完毕，期间产生的费用由供应商承担。</w:t>
      </w:r>
    </w:p>
    <w:p w14:paraId="42E00719">
      <w:pPr>
        <w:spacing w:line="360" w:lineRule="auto"/>
        <w:ind w:firstLine="480" w:firstLineChars="200"/>
        <w:rPr>
          <w:rFonts w:hint="eastAsia"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2.5预防性维护（PM）：每年为每台设备提供</w:t>
      </w:r>
      <w:r>
        <w:rPr>
          <w:rFonts w:hint="eastAsia" w:ascii="宋体" w:hAnsi="宋体" w:eastAsia="宋体" w:cs="宋体"/>
          <w:b w:val="0"/>
          <w:bCs w:val="0"/>
          <w:sz w:val="24"/>
          <w:szCs w:val="24"/>
          <w:highlight w:val="none"/>
          <w:lang w:val="en-US" w:eastAsia="zh-CN"/>
        </w:rPr>
        <w:t>≧</w:t>
      </w:r>
      <w:r>
        <w:rPr>
          <w:rFonts w:hint="eastAsia" w:ascii="宋体" w:hAnsi="宋体" w:cs="宋体"/>
          <w:b w:val="0"/>
          <w:bCs w:val="0"/>
          <w:sz w:val="24"/>
          <w:szCs w:val="24"/>
          <w:highlight w:val="none"/>
          <w:lang w:val="en-US" w:eastAsia="zh-CN"/>
        </w:rPr>
        <w:t>2次的全面预防性维护保养，同时对B超操作人员进行日常维护培训，并提交书面报告。内容包括：设备性能检测与校准、安全检查、图像质量优化、设备清洁，科内培训等。</w:t>
      </w:r>
    </w:p>
    <w:p w14:paraId="5F065ECE">
      <w:pPr>
        <w:spacing w:line="360" w:lineRule="auto"/>
        <w:ind w:firstLine="480" w:firstLineChars="200"/>
        <w:rPr>
          <w:rFonts w:hint="eastAsia"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2.6配件与探头保障：所有更换的零配件必须为原厂全新正品，严禁使用翻新件、拆机件。每台B超免费更换一把探头，其余探头损坏，不限次数免费维修，不设免费维修名额上限。供应商提供的维修备件质保期1年（自零部件安装调试正常使用时算起），在质保期内若因该零部件质量问题导致设备故障，供应商负责更换配件并承担相应维修费责任及费用。</w:t>
      </w:r>
    </w:p>
    <w:p w14:paraId="14151927">
      <w:pPr>
        <w:spacing w:line="360" w:lineRule="auto"/>
        <w:ind w:firstLine="480" w:firstLineChars="200"/>
        <w:rPr>
          <w:rFonts w:hint="eastAsia"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2.7供应商应提供充足的备件库保障，确保维修的及时性。</w:t>
      </w:r>
    </w:p>
    <w:p w14:paraId="176D468E">
      <w:pPr>
        <w:spacing w:line="360" w:lineRule="auto"/>
        <w:ind w:firstLine="480" w:firstLineChars="200"/>
        <w:rPr>
          <w:rFonts w:hint="eastAsia"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2.8软件升级服务：免费提供服务期内设备官方发布的所有操作系统及临床应用软件升级，确保设备功能与安全性保持最新。</w:t>
      </w:r>
    </w:p>
    <w:p w14:paraId="2CA7D7BF">
      <w:pPr>
        <w:spacing w:line="360" w:lineRule="auto"/>
        <w:ind w:firstLine="480" w:firstLineChars="200"/>
        <w:rPr>
          <w:rFonts w:hint="eastAsia"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2.9服务报告：每次服务（包括维修、保养）结束后，需向医院设备科提供详细的服务报告，由维保工程师和医院相关负责人共同签字确认。报告需含故障现象、原因分析、处理过程、更换配件清单及序列号等。</w:t>
      </w:r>
    </w:p>
    <w:p w14:paraId="0CA213A5">
      <w:pPr>
        <w:spacing w:line="360" w:lineRule="auto"/>
        <w:ind w:firstLine="480" w:firstLineChars="200"/>
        <w:rPr>
          <w:rFonts w:hint="default"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2.10 供应商配合医院完成5台设备的质量检测相关工作。</w:t>
      </w:r>
    </w:p>
    <w:p w14:paraId="64C8384F">
      <w:pPr>
        <w:spacing w:line="360" w:lineRule="auto"/>
        <w:ind w:firstLine="482" w:firstLineChars="200"/>
        <w:rPr>
          <w:rFonts w:hint="default"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t>（3）履约要求</w:t>
      </w:r>
    </w:p>
    <w:p w14:paraId="5C866E84">
      <w:pPr>
        <w:spacing w:line="360" w:lineRule="auto"/>
        <w:ind w:firstLine="480" w:firstLineChars="200"/>
        <w:rPr>
          <w:rFonts w:hint="eastAsia"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3.1供应商提供工程师必须经过原厂严格培训并持有有效的认证资格证书，提供主要服务工程师的资质证明复印件。</w:t>
      </w:r>
    </w:p>
    <w:p w14:paraId="4E4F0639">
      <w:pPr>
        <w:spacing w:line="360" w:lineRule="auto"/>
        <w:ind w:firstLine="480" w:firstLineChars="200"/>
        <w:rPr>
          <w:rFonts w:hint="eastAsia"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3.2供应商中标后需在本地区设有固定的售后服务网点，并配备充足的备件库，具备快速响应能力。（提供承诺函加盖单位公章）</w:t>
      </w:r>
    </w:p>
    <w:p w14:paraId="0842B8D9">
      <w:pPr>
        <w:ind w:firstLine="480" w:firstLineChars="200"/>
        <w:rPr>
          <w:rFonts w:hint="eastAsia" w:ascii="宋体" w:hAnsi="宋体" w:cs="宋体"/>
          <w:b/>
          <w:bCs/>
          <w:sz w:val="24"/>
          <w:szCs w:val="24"/>
          <w:highlight w:val="none"/>
          <w:lang w:val="en-US" w:eastAsia="zh-CN"/>
        </w:rPr>
      </w:pPr>
      <w:r>
        <w:rPr>
          <w:rFonts w:hint="eastAsia" w:ascii="宋体" w:hAnsi="宋体" w:cs="宋体"/>
          <w:b w:val="0"/>
          <w:bCs w:val="0"/>
          <w:sz w:val="24"/>
          <w:szCs w:val="24"/>
          <w:highlight w:val="none"/>
          <w:lang w:val="en-US" w:eastAsia="zh-CN"/>
        </w:rPr>
        <w:t>3.3</w:t>
      </w:r>
      <w:r>
        <w:rPr>
          <w:rFonts w:hint="eastAsia" w:ascii="宋体" w:hAnsi="宋体" w:eastAsia="宋体" w:cs="宋体"/>
          <w:b w:val="0"/>
          <w:bCs w:val="0"/>
          <w:sz w:val="24"/>
          <w:szCs w:val="24"/>
          <w:highlight w:val="none"/>
          <w:lang w:val="en-US" w:eastAsia="zh-CN"/>
        </w:rPr>
        <w:t>供应商的报价包含所有设备的日常巡检与保养费，维修（包括配件更换）费，培训费、配件费、安装费、验收费、交通费等服务的全部费用，采购人不再额外支付任何费用。</w:t>
      </w:r>
    </w:p>
    <w:p w14:paraId="0A5BCFBB">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bCs/>
          <w:kern w:val="0"/>
          <w:sz w:val="24"/>
          <w:szCs w:val="21"/>
        </w:rPr>
      </w:pPr>
      <w:r>
        <w:rPr>
          <w:rFonts w:hint="eastAsia" w:ascii="宋体" w:hAnsi="宋体" w:cs="宋体"/>
          <w:b/>
          <w:bCs/>
          <w:kern w:val="0"/>
          <w:sz w:val="24"/>
          <w:szCs w:val="21"/>
        </w:rPr>
        <w:t>五、技术资料</w:t>
      </w:r>
    </w:p>
    <w:p w14:paraId="231B3889">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kern w:val="0"/>
          <w:sz w:val="24"/>
          <w:szCs w:val="21"/>
        </w:rPr>
      </w:pPr>
      <w:r>
        <w:rPr>
          <w:rFonts w:hint="eastAsia" w:ascii="宋体" w:hAnsi="宋体" w:cs="宋体"/>
          <w:kern w:val="0"/>
          <w:sz w:val="24"/>
          <w:szCs w:val="21"/>
        </w:rPr>
        <w:t>1.</w:t>
      </w:r>
      <w:bookmarkStart w:id="1" w:name="_Hlk73203142"/>
      <w:r>
        <w:rPr>
          <w:rFonts w:hint="eastAsia" w:ascii="宋体" w:hAnsi="宋体" w:cs="宋体"/>
          <w:kern w:val="0"/>
          <w:sz w:val="24"/>
          <w:szCs w:val="21"/>
        </w:rPr>
        <w:t>供应商</w:t>
      </w:r>
      <w:bookmarkEnd w:id="1"/>
      <w:r>
        <w:rPr>
          <w:rFonts w:hint="eastAsia" w:ascii="宋体" w:hAnsi="宋体" w:cs="宋体"/>
          <w:kern w:val="0"/>
          <w:sz w:val="24"/>
          <w:szCs w:val="21"/>
        </w:rPr>
        <w:t>应按磋商文件规定的时间向采购人提供完成项目的有关服务资料。</w:t>
      </w:r>
    </w:p>
    <w:p w14:paraId="4F772489">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kern w:val="0"/>
          <w:sz w:val="24"/>
          <w:szCs w:val="21"/>
        </w:rPr>
      </w:pPr>
      <w:r>
        <w:rPr>
          <w:rFonts w:hint="eastAsia" w:ascii="宋体" w:hAnsi="宋体" w:cs="宋体"/>
          <w:kern w:val="0"/>
          <w:sz w:val="24"/>
          <w:szCs w:val="21"/>
        </w:rPr>
        <w:t>2.没有采购人事先书面同意，供应商不得将由采购人提供的有关合同或任何合同条文、规格、计划或资料提供给与履行本合同无关的任何其他人。即使向履行本合同有关的人员提供，也应注意保密并限于履行合同的必需范围。</w:t>
      </w:r>
    </w:p>
    <w:p w14:paraId="7FCCE944">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kern w:val="0"/>
          <w:sz w:val="24"/>
          <w:szCs w:val="21"/>
        </w:rPr>
      </w:pPr>
      <w:r>
        <w:rPr>
          <w:rFonts w:hint="eastAsia" w:ascii="宋体" w:hAnsi="宋体" w:cs="宋体"/>
          <w:b/>
          <w:kern w:val="0"/>
          <w:sz w:val="24"/>
          <w:szCs w:val="21"/>
        </w:rPr>
        <w:t>六、技术情报的保密</w:t>
      </w:r>
    </w:p>
    <w:p w14:paraId="741EB44F">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cs="宋体"/>
          <w:kern w:val="0"/>
          <w:sz w:val="24"/>
          <w:szCs w:val="21"/>
        </w:rPr>
      </w:pPr>
      <w:r>
        <w:rPr>
          <w:rFonts w:hint="eastAsia" w:ascii="宋体" w:hAnsi="宋体" w:cs="宋体"/>
          <w:kern w:val="0"/>
          <w:sz w:val="24"/>
          <w:szCs w:val="21"/>
        </w:rPr>
        <w:t>1.采购人、供应商双方商定，供应商取得的所有原始技术资料在工作结束后交还采购人，供应商不得对外泄露。</w:t>
      </w:r>
    </w:p>
    <w:p w14:paraId="39EE2F48">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cs="宋体"/>
          <w:kern w:val="0"/>
          <w:sz w:val="24"/>
          <w:szCs w:val="21"/>
        </w:rPr>
      </w:pPr>
      <w:r>
        <w:rPr>
          <w:rFonts w:hint="eastAsia" w:ascii="宋体" w:hAnsi="宋体" w:cs="宋体"/>
          <w:kern w:val="0"/>
          <w:sz w:val="24"/>
          <w:szCs w:val="21"/>
        </w:rPr>
        <w:t>2.</w:t>
      </w:r>
      <w:r>
        <w:rPr>
          <w:rFonts w:hint="eastAsia" w:ascii="宋体" w:hAnsi="宋体" w:cs="宋体"/>
          <w:kern w:val="0"/>
          <w:sz w:val="24"/>
          <w:szCs w:val="21"/>
          <w:lang w:val="en-US" w:eastAsia="zh-CN"/>
        </w:rPr>
        <w:t>相关资料</w:t>
      </w:r>
      <w:r>
        <w:rPr>
          <w:rFonts w:hint="eastAsia" w:ascii="宋体" w:hAnsi="宋体" w:cs="宋体"/>
          <w:kern w:val="0"/>
          <w:sz w:val="24"/>
          <w:szCs w:val="21"/>
        </w:rPr>
        <w:t>涉及国家秘密的，供应商应严格遵守国家《保密法》及有关保密规定，履行有关保密程序，供应商涉密人员上岗应当经过保密教育培训，掌握保密知识技能，签订保密承诺书，严格遵守保密规章制度，不得泄露国家秘密。</w:t>
      </w:r>
    </w:p>
    <w:p w14:paraId="47F05E53">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bCs/>
          <w:kern w:val="0"/>
          <w:sz w:val="24"/>
          <w:szCs w:val="21"/>
        </w:rPr>
      </w:pPr>
      <w:r>
        <w:rPr>
          <w:rFonts w:hint="eastAsia" w:ascii="宋体" w:hAnsi="宋体" w:cs="宋体"/>
          <w:b/>
          <w:bCs/>
          <w:kern w:val="0"/>
          <w:sz w:val="24"/>
          <w:szCs w:val="21"/>
          <w:lang w:val="en-US" w:eastAsia="zh-CN"/>
        </w:rPr>
        <w:t>七</w:t>
      </w:r>
      <w:r>
        <w:rPr>
          <w:rFonts w:hint="eastAsia" w:ascii="宋体" w:hAnsi="宋体" w:cs="宋体"/>
          <w:b/>
          <w:bCs/>
          <w:kern w:val="0"/>
          <w:sz w:val="24"/>
          <w:szCs w:val="21"/>
        </w:rPr>
        <w:t>、转让或分包</w:t>
      </w:r>
    </w:p>
    <w:p w14:paraId="74A00AD3">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kern w:val="0"/>
          <w:sz w:val="24"/>
          <w:szCs w:val="21"/>
        </w:rPr>
      </w:pPr>
      <w:r>
        <w:rPr>
          <w:rFonts w:hint="eastAsia" w:ascii="宋体" w:hAnsi="宋体" w:cs="宋体"/>
          <w:kern w:val="0"/>
          <w:sz w:val="24"/>
          <w:szCs w:val="21"/>
        </w:rPr>
        <w:t>1.本合同范围的项目服务内容，应由供应商直接服务，不得转让他人；</w:t>
      </w:r>
    </w:p>
    <w:p w14:paraId="5E6C9F61">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kern w:val="0"/>
          <w:sz w:val="24"/>
          <w:szCs w:val="21"/>
        </w:rPr>
      </w:pPr>
      <w:r>
        <w:rPr>
          <w:rFonts w:hint="eastAsia" w:ascii="宋体" w:hAnsi="宋体" w:cs="宋体"/>
          <w:kern w:val="0"/>
          <w:sz w:val="24"/>
          <w:szCs w:val="21"/>
        </w:rPr>
        <w:t>2.如有转让和未经采购人同意的分包行为，采购人有权解除合同，并追究供应商的违约责任。</w:t>
      </w:r>
    </w:p>
    <w:p w14:paraId="5A399C67">
      <w:pPr>
        <w:widowControl/>
        <w:tabs>
          <w:tab w:val="left" w:pos="0"/>
          <w:tab w:val="left" w:pos="437"/>
          <w:tab w:val="left" w:pos="1311"/>
        </w:tabs>
        <w:adjustRightInd w:val="0"/>
        <w:snapToGrid w:val="0"/>
        <w:spacing w:line="360" w:lineRule="auto"/>
        <w:ind w:firstLine="482" w:firstLineChars="200"/>
        <w:jc w:val="left"/>
        <w:rPr>
          <w:rFonts w:ascii="宋体" w:hAnsi="宋体" w:cs="宋体"/>
          <w:b/>
          <w:kern w:val="0"/>
          <w:sz w:val="24"/>
          <w:szCs w:val="21"/>
        </w:rPr>
      </w:pPr>
      <w:bookmarkStart w:id="2" w:name="_Toc28452"/>
      <w:bookmarkStart w:id="3" w:name="_Toc26949"/>
      <w:r>
        <w:rPr>
          <w:rFonts w:hint="eastAsia" w:ascii="宋体" w:hAnsi="宋体" w:cs="宋体"/>
          <w:b/>
          <w:kern w:val="0"/>
          <w:sz w:val="24"/>
          <w:szCs w:val="21"/>
        </w:rPr>
        <w:t>八、采购人的权利及义务</w:t>
      </w:r>
      <w:bookmarkEnd w:id="2"/>
    </w:p>
    <w:p w14:paraId="1099F131">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szCs w:val="21"/>
        </w:rPr>
      </w:pPr>
      <w:r>
        <w:rPr>
          <w:rFonts w:hint="eastAsia" w:ascii="宋体" w:hAnsi="宋体" w:cs="宋体"/>
          <w:kern w:val="0"/>
          <w:sz w:val="24"/>
          <w:szCs w:val="21"/>
        </w:rPr>
        <w:t>（一）采购人的权利</w:t>
      </w:r>
    </w:p>
    <w:p w14:paraId="0C6D5CEB">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szCs w:val="21"/>
        </w:rPr>
      </w:pPr>
      <w:r>
        <w:rPr>
          <w:rFonts w:ascii="宋体" w:hAnsi="宋体" w:cs="宋体"/>
          <w:kern w:val="0"/>
          <w:sz w:val="24"/>
          <w:szCs w:val="21"/>
        </w:rPr>
        <w:t>1</w:t>
      </w:r>
      <w:r>
        <w:rPr>
          <w:rFonts w:hint="eastAsia" w:ascii="宋体" w:hAnsi="宋体" w:cs="宋体"/>
          <w:kern w:val="0"/>
          <w:sz w:val="24"/>
          <w:szCs w:val="21"/>
        </w:rPr>
        <w:t>．采购人有权向供应商询问工作进展情况及相关的内容。</w:t>
      </w:r>
    </w:p>
    <w:p w14:paraId="22292563">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szCs w:val="21"/>
        </w:rPr>
      </w:pPr>
      <w:r>
        <w:rPr>
          <w:rFonts w:ascii="宋体" w:hAnsi="宋体" w:cs="宋体"/>
          <w:kern w:val="0"/>
          <w:sz w:val="24"/>
          <w:szCs w:val="21"/>
        </w:rPr>
        <w:t>2</w:t>
      </w:r>
      <w:r>
        <w:rPr>
          <w:rFonts w:hint="eastAsia" w:ascii="宋体" w:hAnsi="宋体" w:cs="宋体"/>
          <w:kern w:val="0"/>
          <w:sz w:val="24"/>
          <w:szCs w:val="21"/>
        </w:rPr>
        <w:t>．采购人有权阐述对具体问题的意见和建议。</w:t>
      </w:r>
    </w:p>
    <w:p w14:paraId="0B8FFF45">
      <w:pPr>
        <w:widowControl/>
        <w:tabs>
          <w:tab w:val="left" w:pos="0"/>
          <w:tab w:val="left" w:pos="437"/>
          <w:tab w:val="left" w:pos="1311"/>
        </w:tabs>
        <w:adjustRightInd w:val="0"/>
        <w:snapToGrid w:val="0"/>
        <w:spacing w:line="360" w:lineRule="auto"/>
        <w:ind w:left="479" w:leftChars="228" w:firstLine="0" w:firstLineChars="0"/>
        <w:jc w:val="left"/>
        <w:rPr>
          <w:rFonts w:ascii="宋体" w:hAnsi="宋体" w:cs="宋体"/>
          <w:kern w:val="0"/>
          <w:sz w:val="24"/>
          <w:szCs w:val="21"/>
        </w:rPr>
      </w:pPr>
      <w:r>
        <w:rPr>
          <w:rFonts w:ascii="宋体" w:hAnsi="宋体" w:cs="宋体"/>
          <w:kern w:val="0"/>
          <w:sz w:val="24"/>
          <w:szCs w:val="21"/>
        </w:rPr>
        <w:t xml:space="preserve">3. </w:t>
      </w:r>
      <w:r>
        <w:rPr>
          <w:rFonts w:hint="eastAsia" w:ascii="宋体" w:hAnsi="宋体" w:cs="宋体"/>
          <w:kern w:val="0"/>
          <w:sz w:val="24"/>
          <w:szCs w:val="21"/>
        </w:rPr>
        <w:t>采购人有权根据项目的具体情况，要求供应商按期到项目现场勘探解决争议。</w:t>
      </w:r>
      <w:r>
        <w:rPr>
          <w:rFonts w:ascii="宋体" w:hAnsi="宋体" w:cs="宋体"/>
          <w:kern w:val="0"/>
          <w:sz w:val="24"/>
          <w:szCs w:val="21"/>
        </w:rPr>
        <w:t>4</w:t>
      </w:r>
      <w:r>
        <w:rPr>
          <w:rFonts w:hint="eastAsia" w:ascii="宋体" w:hAnsi="宋体" w:cs="宋体"/>
          <w:kern w:val="0"/>
          <w:sz w:val="24"/>
          <w:szCs w:val="21"/>
        </w:rPr>
        <w:t>．当采购人认定供应商专业人员不按合同履行其职责，或与第三人串通给采购人造成损失的，采购人有权要求更换专业人员，直至终止合同并要求供应商承担相应的赔偿责任。</w:t>
      </w:r>
    </w:p>
    <w:p w14:paraId="5FFD992F">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szCs w:val="21"/>
        </w:rPr>
      </w:pPr>
      <w:r>
        <w:rPr>
          <w:rFonts w:hint="eastAsia" w:ascii="宋体" w:hAnsi="宋体" w:cs="宋体"/>
          <w:kern w:val="0"/>
          <w:sz w:val="24"/>
          <w:szCs w:val="21"/>
        </w:rPr>
        <w:t>（二）采购人的义务</w:t>
      </w:r>
    </w:p>
    <w:p w14:paraId="0524E85E">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szCs w:val="21"/>
        </w:rPr>
      </w:pPr>
      <w:r>
        <w:rPr>
          <w:rFonts w:ascii="宋体" w:hAnsi="宋体" w:cs="宋体"/>
          <w:kern w:val="0"/>
          <w:sz w:val="24"/>
          <w:szCs w:val="21"/>
        </w:rPr>
        <w:t>1</w:t>
      </w:r>
      <w:r>
        <w:rPr>
          <w:rFonts w:hint="eastAsia" w:ascii="宋体" w:hAnsi="宋体" w:cs="宋体"/>
          <w:kern w:val="0"/>
          <w:sz w:val="24"/>
          <w:szCs w:val="21"/>
        </w:rPr>
        <w:t>．采购人应当在约定的时间内，向供应商提供与本项目实施有关的资料。</w:t>
      </w:r>
    </w:p>
    <w:p w14:paraId="02370C9A">
      <w:pPr>
        <w:widowControl/>
        <w:tabs>
          <w:tab w:val="left" w:pos="0"/>
          <w:tab w:val="left" w:pos="437"/>
          <w:tab w:val="left" w:pos="1311"/>
        </w:tabs>
        <w:adjustRightInd w:val="0"/>
        <w:snapToGrid w:val="0"/>
        <w:spacing w:line="360" w:lineRule="auto"/>
        <w:ind w:firstLine="482" w:firstLineChars="200"/>
        <w:jc w:val="left"/>
        <w:rPr>
          <w:rFonts w:ascii="宋体" w:hAnsi="宋体" w:cs="宋体"/>
          <w:b/>
          <w:kern w:val="0"/>
          <w:sz w:val="24"/>
          <w:szCs w:val="21"/>
        </w:rPr>
      </w:pPr>
      <w:bookmarkStart w:id="4" w:name="_Toc14300"/>
      <w:r>
        <w:rPr>
          <w:rFonts w:hint="eastAsia" w:ascii="宋体" w:hAnsi="宋体" w:cs="宋体"/>
          <w:b/>
          <w:kern w:val="0"/>
          <w:sz w:val="24"/>
          <w:szCs w:val="21"/>
        </w:rPr>
        <w:t>九、供应商的权利及义务</w:t>
      </w:r>
      <w:bookmarkEnd w:id="4"/>
    </w:p>
    <w:p w14:paraId="24E0A229">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szCs w:val="21"/>
        </w:rPr>
      </w:pPr>
      <w:r>
        <w:rPr>
          <w:rFonts w:hint="eastAsia" w:ascii="宋体" w:hAnsi="宋体" w:cs="宋体"/>
          <w:kern w:val="0"/>
          <w:sz w:val="24"/>
          <w:szCs w:val="21"/>
        </w:rPr>
        <w:t>（一）供应商的权利</w:t>
      </w:r>
    </w:p>
    <w:p w14:paraId="250D1E1E">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szCs w:val="21"/>
        </w:rPr>
      </w:pPr>
      <w:r>
        <w:rPr>
          <w:rFonts w:ascii="宋体" w:hAnsi="宋体" w:cs="宋体"/>
          <w:kern w:val="0"/>
          <w:sz w:val="24"/>
          <w:szCs w:val="21"/>
        </w:rPr>
        <w:t>1.</w:t>
      </w:r>
      <w:r>
        <w:rPr>
          <w:rFonts w:hint="eastAsia" w:ascii="宋体" w:hAnsi="宋体" w:cs="宋体"/>
          <w:kern w:val="0"/>
          <w:sz w:val="24"/>
          <w:szCs w:val="21"/>
        </w:rPr>
        <w:t>供应商在项目实施过程中，如采购人提供的资料不明确时可向采购人提出书面报告。</w:t>
      </w:r>
    </w:p>
    <w:p w14:paraId="4B7AD301">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szCs w:val="21"/>
        </w:rPr>
      </w:pPr>
      <w:r>
        <w:rPr>
          <w:rFonts w:ascii="宋体" w:hAnsi="宋体" w:cs="宋体"/>
          <w:kern w:val="0"/>
          <w:sz w:val="24"/>
          <w:szCs w:val="21"/>
        </w:rPr>
        <w:t>2</w:t>
      </w:r>
      <w:r>
        <w:rPr>
          <w:rFonts w:hint="eastAsia" w:ascii="宋体" w:hAnsi="宋体" w:cs="宋体"/>
          <w:kern w:val="0"/>
          <w:sz w:val="24"/>
          <w:szCs w:val="21"/>
        </w:rPr>
        <w:t>.供应商在项目实施过程中，有到项目现场勘察的权利。</w:t>
      </w:r>
    </w:p>
    <w:p w14:paraId="110B42C6">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szCs w:val="21"/>
        </w:rPr>
      </w:pPr>
      <w:r>
        <w:rPr>
          <w:rFonts w:hint="eastAsia" w:ascii="宋体" w:hAnsi="宋体" w:cs="宋体"/>
          <w:kern w:val="0"/>
          <w:sz w:val="24"/>
          <w:szCs w:val="21"/>
        </w:rPr>
        <w:t>（二）供应商的义务</w:t>
      </w:r>
    </w:p>
    <w:p w14:paraId="5F72DC44">
      <w:pPr>
        <w:keepNext w:val="0"/>
        <w:keepLines w:val="0"/>
        <w:pageBreakBefore w:val="0"/>
        <w:widowControl/>
        <w:tabs>
          <w:tab w:val="left" w:pos="0"/>
          <w:tab w:val="left" w:pos="437"/>
          <w:tab w:val="left" w:pos="1311"/>
        </w:tabs>
        <w:kinsoku/>
        <w:wordWrap/>
        <w:overflowPunct/>
        <w:topLinePunct w:val="0"/>
        <w:bidi w:val="0"/>
        <w:adjustRightInd w:val="0"/>
        <w:snapToGrid w:val="0"/>
        <w:spacing w:line="500" w:lineRule="exact"/>
        <w:ind w:firstLine="480" w:firstLineChars="200"/>
        <w:jc w:val="left"/>
        <w:textAlignment w:val="auto"/>
        <w:rPr>
          <w:rFonts w:hint="eastAsia" w:ascii="宋体" w:hAnsi="宋体" w:eastAsia="宋体" w:cs="宋体"/>
          <w:kern w:val="0"/>
          <w:sz w:val="24"/>
        </w:rPr>
      </w:pPr>
      <w:bookmarkStart w:id="5" w:name="_Toc534"/>
      <w:r>
        <w:rPr>
          <w:rFonts w:hint="eastAsia" w:ascii="宋体" w:hAnsi="宋体" w:cs="宋体"/>
          <w:kern w:val="0"/>
          <w:sz w:val="24"/>
          <w:lang w:val="en-US" w:eastAsia="zh-CN"/>
        </w:rPr>
        <w:t>1、</w:t>
      </w:r>
      <w:r>
        <w:rPr>
          <w:rFonts w:hint="eastAsia" w:ascii="宋体" w:hAnsi="宋体" w:eastAsia="宋体" w:cs="宋体"/>
          <w:kern w:val="0"/>
          <w:sz w:val="24"/>
        </w:rPr>
        <w:t>提供B超维保范围B超整机全部软硬件，包括设备主机、显示器、控制单元、电源系统、所有原配探头及缆线、脚踏开关等全部硬件和系统软件。</w:t>
      </w:r>
    </w:p>
    <w:p w14:paraId="15BEB88E">
      <w:pPr>
        <w:spacing w:line="360" w:lineRule="auto"/>
        <w:ind w:firstLine="480" w:firstLineChars="200"/>
        <w:rPr>
          <w:rFonts w:hint="eastAsia" w:ascii="宋体" w:hAnsi="宋体" w:eastAsia="宋体" w:cs="宋体"/>
          <w:kern w:val="0"/>
          <w:sz w:val="24"/>
        </w:rPr>
      </w:pPr>
      <w:r>
        <w:rPr>
          <w:rFonts w:hint="eastAsia" w:ascii="宋体" w:hAnsi="宋体" w:cs="宋体"/>
          <w:kern w:val="0"/>
          <w:sz w:val="24"/>
          <w:lang w:val="en-US" w:eastAsia="zh-CN"/>
        </w:rPr>
        <w:t>2、</w:t>
      </w:r>
      <w:r>
        <w:rPr>
          <w:rFonts w:hint="eastAsia" w:ascii="宋体" w:hAnsi="宋体" w:eastAsia="宋体" w:cs="宋体"/>
          <w:kern w:val="0"/>
          <w:sz w:val="24"/>
        </w:rPr>
        <w:t>须提供整机保修一年，并根据采购人要求为每台B超更换任意一把探头，并保证为原厂备件。</w:t>
      </w:r>
    </w:p>
    <w:p w14:paraId="2EC9572F">
      <w:pPr>
        <w:spacing w:line="360" w:lineRule="auto"/>
        <w:ind w:firstLine="480" w:firstLineChars="200"/>
        <w:rPr>
          <w:rFonts w:hint="eastAsia"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3、技术支持与响应：提供7×24小时免费技术服务热线。</w:t>
      </w:r>
    </w:p>
    <w:p w14:paraId="76E293E9">
      <w:pPr>
        <w:spacing w:line="360" w:lineRule="auto"/>
        <w:ind w:firstLine="480" w:firstLineChars="200"/>
        <w:rPr>
          <w:rFonts w:hint="eastAsia"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4、故障响应： 供应商接到医院报修电话后，</w:t>
      </w:r>
      <w:r>
        <w:rPr>
          <w:rFonts w:hint="eastAsia" w:ascii="宋体" w:hAnsi="宋体" w:eastAsia="宋体" w:cs="宋体"/>
          <w:b w:val="0"/>
          <w:bCs w:val="0"/>
          <w:sz w:val="24"/>
          <w:szCs w:val="24"/>
          <w:highlight w:val="none"/>
          <w:lang w:val="en-US" w:eastAsia="zh-CN"/>
        </w:rPr>
        <w:t>≦</w:t>
      </w:r>
      <w:r>
        <w:rPr>
          <w:rFonts w:hint="eastAsia" w:ascii="宋体" w:hAnsi="宋体" w:cs="宋体"/>
          <w:b w:val="0"/>
          <w:bCs w:val="0"/>
          <w:sz w:val="24"/>
          <w:szCs w:val="24"/>
          <w:highlight w:val="none"/>
          <w:lang w:val="en-US" w:eastAsia="zh-CN"/>
        </w:rPr>
        <w:t>15分钟电话响应，</w:t>
      </w:r>
      <w:r>
        <w:rPr>
          <w:rFonts w:hint="eastAsia" w:ascii="宋体" w:hAnsi="宋体" w:eastAsia="宋体" w:cs="宋体"/>
          <w:b w:val="0"/>
          <w:bCs w:val="0"/>
          <w:sz w:val="24"/>
          <w:szCs w:val="24"/>
          <w:highlight w:val="none"/>
          <w:lang w:val="en-US" w:eastAsia="zh-CN"/>
        </w:rPr>
        <w:t>≦</w:t>
      </w:r>
      <w:r>
        <w:rPr>
          <w:rFonts w:hint="eastAsia" w:ascii="宋体" w:hAnsi="宋体" w:cs="宋体"/>
          <w:b w:val="0"/>
          <w:bCs w:val="0"/>
          <w:sz w:val="24"/>
          <w:szCs w:val="24"/>
          <w:highlight w:val="none"/>
          <w:lang w:val="en-US" w:eastAsia="zh-CN"/>
        </w:rPr>
        <w:t>2小时提供远程技术指导或解决方案。</w:t>
      </w:r>
    </w:p>
    <w:p w14:paraId="22244C96">
      <w:pPr>
        <w:spacing w:line="360" w:lineRule="auto"/>
        <w:ind w:firstLine="480" w:firstLineChars="200"/>
        <w:rPr>
          <w:rFonts w:hint="eastAsia"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5、现场响应： 需现场服务的，维保工程师应在</w:t>
      </w:r>
      <w:r>
        <w:rPr>
          <w:rFonts w:hint="eastAsia" w:ascii="宋体" w:hAnsi="宋体" w:eastAsia="宋体" w:cs="宋体"/>
          <w:b w:val="0"/>
          <w:bCs w:val="0"/>
          <w:sz w:val="24"/>
          <w:szCs w:val="24"/>
          <w:highlight w:val="none"/>
          <w:lang w:val="en-US" w:eastAsia="zh-CN"/>
        </w:rPr>
        <w:t>≦</w:t>
      </w:r>
      <w:r>
        <w:rPr>
          <w:rFonts w:hint="eastAsia" w:ascii="宋体" w:hAnsi="宋体" w:cs="宋体"/>
          <w:b w:val="0"/>
          <w:bCs w:val="0"/>
          <w:sz w:val="24"/>
          <w:szCs w:val="24"/>
          <w:highlight w:val="none"/>
          <w:lang w:val="en-US" w:eastAsia="zh-CN"/>
        </w:rPr>
        <w:t xml:space="preserve">8个工作小时抵达设备现场。  </w:t>
      </w:r>
    </w:p>
    <w:p w14:paraId="584C9FDB">
      <w:pPr>
        <w:spacing w:line="360" w:lineRule="auto"/>
        <w:ind w:firstLine="480" w:firstLineChars="200"/>
        <w:rPr>
          <w:rFonts w:hint="eastAsia"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6、故障修复时限：一般性故障：</w:t>
      </w:r>
      <w:r>
        <w:rPr>
          <w:rFonts w:hint="eastAsia" w:ascii="宋体" w:hAnsi="宋体" w:eastAsia="宋体" w:cs="宋体"/>
          <w:b w:val="0"/>
          <w:bCs w:val="0"/>
          <w:sz w:val="24"/>
          <w:szCs w:val="24"/>
          <w:highlight w:val="none"/>
          <w:lang w:val="en-US" w:eastAsia="zh-CN"/>
        </w:rPr>
        <w:t>≦</w:t>
      </w:r>
      <w:r>
        <w:rPr>
          <w:rFonts w:hint="eastAsia" w:ascii="宋体" w:hAnsi="宋体" w:cs="宋体"/>
          <w:b w:val="0"/>
          <w:bCs w:val="0"/>
          <w:sz w:val="24"/>
          <w:szCs w:val="24"/>
          <w:highlight w:val="none"/>
          <w:lang w:val="en-US" w:eastAsia="zh-CN"/>
        </w:rPr>
        <w:t>24小时内修复。重大复杂故障：若48小时内无法修复，应在征得医院同意后，立即提供相同或更高档次的备用设备供临床应急使用，直至原设备修复完毕，期间产生的费用由供应商承担。</w:t>
      </w:r>
    </w:p>
    <w:p w14:paraId="1557BF7B">
      <w:pPr>
        <w:spacing w:line="360" w:lineRule="auto"/>
        <w:ind w:firstLine="480" w:firstLineChars="200"/>
        <w:rPr>
          <w:rFonts w:hint="eastAsia"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7、预防性维护（PM）：每年为每台设备提供</w:t>
      </w:r>
      <w:r>
        <w:rPr>
          <w:rFonts w:hint="eastAsia" w:ascii="宋体" w:hAnsi="宋体" w:eastAsia="宋体" w:cs="宋体"/>
          <w:b w:val="0"/>
          <w:bCs w:val="0"/>
          <w:sz w:val="24"/>
          <w:szCs w:val="24"/>
          <w:highlight w:val="none"/>
          <w:lang w:val="en-US" w:eastAsia="zh-CN"/>
        </w:rPr>
        <w:t>≧</w:t>
      </w:r>
      <w:r>
        <w:rPr>
          <w:rFonts w:hint="eastAsia" w:ascii="宋体" w:hAnsi="宋体" w:cs="宋体"/>
          <w:b w:val="0"/>
          <w:bCs w:val="0"/>
          <w:sz w:val="24"/>
          <w:szCs w:val="24"/>
          <w:highlight w:val="none"/>
          <w:lang w:val="en-US" w:eastAsia="zh-CN"/>
        </w:rPr>
        <w:t>2次的全面预防性维护保养，同时对B超操作人员进行日常维护培训，并提交书面报告。内容包括：设备性能检测与校准、安全检查、图像质量优化、设备清洁，科内培训等。</w:t>
      </w:r>
    </w:p>
    <w:p w14:paraId="0C63EC51">
      <w:pPr>
        <w:spacing w:line="360" w:lineRule="auto"/>
        <w:ind w:firstLine="480" w:firstLineChars="200"/>
        <w:rPr>
          <w:rFonts w:hint="eastAsia"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8、配件与探头保障：所有更换的零配件必须为原厂全新正品，严禁使用翻新件、拆机件。每台B超免费更换一把探头，其余探头损坏，不限次数免费维修，不设免费维修名额上限。供应商提供的维修备件质保期1年（自零部件安装调试正常使用时算起），在质保期内若因该零部件质量问题导致设备故障，供应商负责更换配件并承担相应维修费责任及费用。</w:t>
      </w:r>
    </w:p>
    <w:p w14:paraId="2F0E54BF">
      <w:pPr>
        <w:spacing w:line="360" w:lineRule="auto"/>
        <w:ind w:firstLine="480" w:firstLineChars="200"/>
        <w:rPr>
          <w:rFonts w:hint="eastAsia"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9、供应商应提供充足的备件库保障，确保维修的及时性。</w:t>
      </w:r>
    </w:p>
    <w:p w14:paraId="19026DD8">
      <w:pPr>
        <w:spacing w:line="360" w:lineRule="auto"/>
        <w:ind w:firstLine="480" w:firstLineChars="200"/>
        <w:rPr>
          <w:rFonts w:hint="eastAsia"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10、软件升级服务：免费提供服务期内设备官方发布的所有操作系统及临床应用软件升级，确保设备功能与安全性保持最新。</w:t>
      </w:r>
    </w:p>
    <w:p w14:paraId="1790374E">
      <w:pPr>
        <w:spacing w:line="360" w:lineRule="auto"/>
        <w:ind w:firstLine="480" w:firstLineChars="200"/>
        <w:rPr>
          <w:rFonts w:hint="eastAsia"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11、服务报告：每次服务（包括维修、保养）结束后，需向医院设备科提供详细的服务报告，由维保工程师和医院相关负责人共同签字确认。报告需含故障现象、原因分析、处理过程、更换配件清单及序列号等。</w:t>
      </w:r>
    </w:p>
    <w:p w14:paraId="243E9DB5">
      <w:pPr>
        <w:spacing w:line="360" w:lineRule="auto"/>
        <w:ind w:firstLine="480" w:firstLineChars="200"/>
        <w:rPr>
          <w:rFonts w:hint="default"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12、供应商配合医院完成5台设备的质量检测相关工作。</w:t>
      </w:r>
    </w:p>
    <w:p w14:paraId="6D988469">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kern w:val="0"/>
          <w:sz w:val="24"/>
          <w:szCs w:val="21"/>
          <w:lang w:eastAsia="zh-CN"/>
        </w:rPr>
      </w:pPr>
      <w:r>
        <w:rPr>
          <w:rFonts w:hint="eastAsia" w:ascii="宋体" w:hAnsi="宋体" w:cs="宋体"/>
          <w:b/>
          <w:kern w:val="0"/>
          <w:sz w:val="24"/>
          <w:szCs w:val="21"/>
        </w:rPr>
        <w:t>十、服务</w:t>
      </w:r>
      <w:bookmarkEnd w:id="5"/>
      <w:r>
        <w:rPr>
          <w:rFonts w:hint="eastAsia" w:ascii="宋体" w:hAnsi="宋体" w:cs="宋体"/>
          <w:b/>
          <w:kern w:val="0"/>
          <w:sz w:val="24"/>
          <w:szCs w:val="21"/>
          <w:lang w:val="en-US" w:eastAsia="zh-CN"/>
        </w:rPr>
        <w:t>质量</w:t>
      </w:r>
    </w:p>
    <w:p w14:paraId="2581AB96">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sz w:val="24"/>
          <w:lang w:val="en-US" w:eastAsia="zh-CN"/>
        </w:rPr>
      </w:pPr>
      <w:r>
        <w:rPr>
          <w:rFonts w:hint="eastAsia" w:ascii="宋体" w:hAnsi="宋体" w:cs="宋体"/>
          <w:b w:val="0"/>
          <w:bCs/>
          <w:sz w:val="24"/>
          <w:lang w:val="en-US" w:eastAsia="zh-CN"/>
        </w:rPr>
        <w:t>符合《医疗器械监督管理条例》、《医用超声设备通用技术要求》及医院相关规定，并达到采购人相关要求。</w:t>
      </w:r>
    </w:p>
    <w:p w14:paraId="566E67A3">
      <w:pPr>
        <w:widowControl/>
        <w:tabs>
          <w:tab w:val="left" w:pos="0"/>
          <w:tab w:val="left" w:pos="437"/>
          <w:tab w:val="left" w:pos="1311"/>
        </w:tabs>
        <w:adjustRightInd w:val="0"/>
        <w:snapToGrid w:val="0"/>
        <w:spacing w:line="360" w:lineRule="auto"/>
        <w:ind w:firstLine="482" w:firstLineChars="200"/>
        <w:jc w:val="left"/>
        <w:rPr>
          <w:rFonts w:ascii="宋体" w:cs="宋体"/>
          <w:b/>
          <w:sz w:val="24"/>
        </w:rPr>
      </w:pPr>
      <w:r>
        <w:rPr>
          <w:rFonts w:hint="eastAsia" w:ascii="宋体" w:hAnsi="宋体" w:cs="宋体"/>
          <w:b/>
          <w:sz w:val="24"/>
          <w:lang w:val="en-US" w:eastAsia="zh-CN"/>
        </w:rPr>
        <w:t>十一</w:t>
      </w:r>
      <w:r>
        <w:rPr>
          <w:rFonts w:hint="eastAsia" w:ascii="宋体" w:hAnsi="宋体" w:cs="宋体"/>
          <w:b/>
          <w:sz w:val="24"/>
        </w:rPr>
        <w:t>、违约责任</w:t>
      </w:r>
      <w:bookmarkEnd w:id="3"/>
    </w:p>
    <w:p w14:paraId="01132BC7">
      <w:pPr>
        <w:widowControl/>
        <w:tabs>
          <w:tab w:val="left" w:pos="0"/>
          <w:tab w:val="left" w:pos="437"/>
          <w:tab w:val="left" w:pos="1311"/>
        </w:tabs>
        <w:adjustRightInd w:val="0"/>
        <w:snapToGrid w:val="0"/>
        <w:spacing w:line="360" w:lineRule="auto"/>
        <w:ind w:firstLine="480" w:firstLineChars="200"/>
        <w:jc w:val="left"/>
        <w:rPr>
          <w:rFonts w:ascii="宋体" w:hAnsi="宋体" w:cs="宋体"/>
          <w:bCs/>
          <w:sz w:val="24"/>
        </w:rPr>
      </w:pPr>
      <w:r>
        <w:rPr>
          <w:rFonts w:hint="eastAsia" w:ascii="宋体" w:hAnsi="宋体" w:cs="宋体"/>
          <w:bCs/>
          <w:sz w:val="24"/>
        </w:rPr>
        <w:t>1、供应商承诺的各项服务内容和服务指标要认真落实，采购人将采取定期和不定期的方式检查和抽查，未达到合同中服务质量、标准的承担相应的违约赔偿。</w:t>
      </w:r>
    </w:p>
    <w:p w14:paraId="2BB6F309">
      <w:pPr>
        <w:widowControl/>
        <w:tabs>
          <w:tab w:val="left" w:pos="0"/>
          <w:tab w:val="left" w:pos="437"/>
          <w:tab w:val="left" w:pos="1311"/>
        </w:tabs>
        <w:adjustRightInd w:val="0"/>
        <w:snapToGrid w:val="0"/>
        <w:spacing w:line="360" w:lineRule="auto"/>
        <w:ind w:firstLine="482" w:firstLineChars="200"/>
        <w:jc w:val="left"/>
        <w:rPr>
          <w:rFonts w:hint="default" w:ascii="宋体" w:hAnsi="宋体" w:cs="宋体"/>
          <w:b/>
          <w:bCs/>
          <w:kern w:val="0"/>
          <w:sz w:val="24"/>
          <w:szCs w:val="21"/>
          <w:lang w:val="en-US" w:eastAsia="zh-CN"/>
        </w:rPr>
      </w:pPr>
      <w:r>
        <w:rPr>
          <w:rFonts w:hint="eastAsia" w:ascii="宋体" w:hAnsi="宋体" w:cs="宋体"/>
          <w:b/>
          <w:bCs/>
          <w:kern w:val="0"/>
          <w:sz w:val="24"/>
          <w:szCs w:val="21"/>
          <w:lang w:val="en-US" w:eastAsia="zh-CN"/>
        </w:rPr>
        <w:t>十二、验收</w:t>
      </w:r>
    </w:p>
    <w:p w14:paraId="19D7175E">
      <w:pPr>
        <w:tabs>
          <w:tab w:val="left" w:pos="452"/>
        </w:tabs>
        <w:ind w:firstLine="482" w:firstLineChars="200"/>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1.验收</w:t>
      </w:r>
      <w:r>
        <w:rPr>
          <w:rFonts w:hint="eastAsia" w:ascii="宋体" w:hAnsi="宋体" w:cs="宋体"/>
          <w:b/>
          <w:bCs/>
          <w:sz w:val="24"/>
          <w:szCs w:val="24"/>
          <w:highlight w:val="none"/>
          <w:lang w:val="en-US" w:eastAsia="zh-CN"/>
        </w:rPr>
        <w:t>标准</w:t>
      </w:r>
    </w:p>
    <w:p w14:paraId="38F85684">
      <w:pPr>
        <w:ind w:firstLine="480" w:firstLineChars="200"/>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合法合规：符合《医疗器械监督管理条例》</w:t>
      </w:r>
      <w:r>
        <w:rPr>
          <w:rFonts w:hint="eastAsia" w:ascii="宋体" w:hAnsi="宋体" w:cs="宋体"/>
          <w:b w:val="0"/>
          <w:bCs w:val="0"/>
          <w:sz w:val="24"/>
          <w:szCs w:val="24"/>
          <w:highlight w:val="none"/>
          <w:lang w:val="en-US" w:eastAsia="zh-CN"/>
        </w:rPr>
        <w:t>、</w:t>
      </w:r>
      <w:r>
        <w:rPr>
          <w:rFonts w:hint="eastAsia" w:ascii="宋体" w:hAnsi="宋体" w:eastAsia="宋体" w:cs="宋体"/>
          <w:b w:val="0"/>
          <w:bCs w:val="0"/>
          <w:sz w:val="24"/>
          <w:szCs w:val="24"/>
          <w:highlight w:val="none"/>
          <w:lang w:val="en-US" w:eastAsia="zh-CN"/>
        </w:rPr>
        <w:t>《医用超声设备通用技术要求》及医院</w:t>
      </w:r>
      <w:r>
        <w:rPr>
          <w:rFonts w:hint="eastAsia" w:ascii="宋体" w:hAnsi="宋体" w:cs="宋体"/>
          <w:b w:val="0"/>
          <w:bCs w:val="0"/>
          <w:sz w:val="24"/>
          <w:szCs w:val="24"/>
          <w:highlight w:val="none"/>
          <w:lang w:val="en-US" w:eastAsia="zh-CN"/>
        </w:rPr>
        <w:t>相关</w:t>
      </w:r>
      <w:r>
        <w:rPr>
          <w:rFonts w:hint="eastAsia" w:ascii="宋体" w:hAnsi="宋体" w:eastAsia="宋体" w:cs="宋体"/>
          <w:b w:val="0"/>
          <w:bCs w:val="0"/>
          <w:sz w:val="24"/>
          <w:szCs w:val="24"/>
          <w:highlight w:val="none"/>
          <w:lang w:val="en-US" w:eastAsia="zh-CN"/>
        </w:rPr>
        <w:t>规定</w:t>
      </w:r>
      <w:r>
        <w:rPr>
          <w:rFonts w:hint="eastAsia" w:ascii="宋体" w:hAnsi="宋体" w:cs="宋体"/>
          <w:b w:val="0"/>
          <w:bCs w:val="0"/>
          <w:sz w:val="24"/>
          <w:szCs w:val="24"/>
          <w:highlight w:val="none"/>
          <w:lang w:val="en-US" w:eastAsia="zh-CN"/>
        </w:rPr>
        <w:t>，并达到采购人相关要求。</w:t>
      </w:r>
    </w:p>
    <w:p w14:paraId="3D5CE65C">
      <w:pPr>
        <w:ind w:firstLine="480" w:firstLineChars="200"/>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功能完整：维修</w:t>
      </w:r>
      <w:r>
        <w:rPr>
          <w:rFonts w:hint="eastAsia" w:ascii="宋体" w:hAnsi="宋体" w:cs="宋体"/>
          <w:b w:val="0"/>
          <w:bCs w:val="0"/>
          <w:sz w:val="24"/>
          <w:szCs w:val="24"/>
          <w:highlight w:val="none"/>
          <w:lang w:val="en-US" w:eastAsia="zh-CN"/>
        </w:rPr>
        <w:t>、</w:t>
      </w:r>
      <w:r>
        <w:rPr>
          <w:rFonts w:hint="eastAsia" w:ascii="宋体" w:hAnsi="宋体" w:eastAsia="宋体" w:cs="宋体"/>
          <w:b w:val="0"/>
          <w:bCs w:val="0"/>
          <w:sz w:val="24"/>
          <w:szCs w:val="24"/>
          <w:highlight w:val="none"/>
          <w:lang w:val="en-US" w:eastAsia="zh-CN"/>
        </w:rPr>
        <w:t>保养后所有临床常用功能、选配功能均恢复正常，无隐性故障。</w:t>
      </w:r>
    </w:p>
    <w:p w14:paraId="38BC655F">
      <w:pPr>
        <w:ind w:firstLine="480" w:firstLineChars="200"/>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可追溯：服务过程、更换配件、检测数据、校准记录完整可查。</w:t>
      </w:r>
    </w:p>
    <w:p w14:paraId="1117A6C8">
      <w:pPr>
        <w:ind w:firstLine="480" w:firstLineChars="200"/>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满足临床：图像质量、操作流畅度、报告输出满足科室日常诊疗需求。</w:t>
      </w:r>
    </w:p>
    <w:p w14:paraId="7F49BF53">
      <w:pPr>
        <w:ind w:firstLine="480" w:firstLineChars="200"/>
        <w:rPr>
          <w:rFonts w:hint="eastAsia" w:ascii="宋体" w:hAnsi="宋体" w:eastAsia="宋体" w:cs="宋体"/>
          <w:b/>
          <w:bCs/>
          <w:sz w:val="24"/>
          <w:szCs w:val="24"/>
          <w:highlight w:val="none"/>
          <w:lang w:val="en-US" w:eastAsia="zh-CN"/>
        </w:rPr>
      </w:pPr>
      <w:r>
        <w:rPr>
          <w:rFonts w:hint="eastAsia" w:ascii="宋体" w:hAnsi="宋体" w:cs="宋体"/>
          <w:b w:val="0"/>
          <w:bCs w:val="0"/>
          <w:sz w:val="24"/>
          <w:szCs w:val="24"/>
          <w:highlight w:val="none"/>
          <w:lang w:val="en-US" w:eastAsia="zh-CN"/>
        </w:rPr>
        <w:t>资料验收：每一次的维保结果经工程师签字，资料齐全、有效。</w:t>
      </w:r>
    </w:p>
    <w:p w14:paraId="209DF727">
      <w:pPr>
        <w:ind w:firstLine="482" w:firstLineChars="20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2.验收依据</w:t>
      </w:r>
    </w:p>
    <w:p w14:paraId="6EA65760">
      <w:pPr>
        <w:ind w:firstLine="480" w:firstLineChars="200"/>
        <w:rPr>
          <w:rFonts w:hint="eastAsia" w:ascii="宋体" w:hAnsi="宋体" w:eastAsia="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（1）</w:t>
      </w:r>
      <w:r>
        <w:rPr>
          <w:rFonts w:hint="eastAsia" w:ascii="宋体" w:hAnsi="宋体" w:eastAsia="宋体" w:cs="宋体"/>
          <w:b w:val="0"/>
          <w:bCs w:val="0"/>
          <w:sz w:val="24"/>
          <w:szCs w:val="24"/>
          <w:highlight w:val="none"/>
          <w:lang w:val="en-US" w:eastAsia="zh-CN"/>
        </w:rPr>
        <w:t xml:space="preserve">合同文本及合同补充文件（条款）； </w:t>
      </w:r>
    </w:p>
    <w:p w14:paraId="495EF0B7">
      <w:pPr>
        <w:ind w:firstLine="480" w:firstLineChars="200"/>
        <w:rPr>
          <w:rFonts w:hint="eastAsia" w:ascii="宋体" w:hAnsi="宋体" w:eastAsia="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（2）</w:t>
      </w:r>
      <w:r>
        <w:rPr>
          <w:rFonts w:hint="eastAsia" w:ascii="宋体" w:hAnsi="宋体" w:eastAsia="宋体" w:cs="宋体"/>
          <w:b w:val="0"/>
          <w:bCs w:val="0"/>
          <w:sz w:val="24"/>
          <w:szCs w:val="24"/>
          <w:highlight w:val="none"/>
          <w:lang w:val="en-US" w:eastAsia="zh-CN"/>
        </w:rPr>
        <w:t>服务的证明文件、佐证材料；</w:t>
      </w:r>
    </w:p>
    <w:p w14:paraId="1556F5AB">
      <w:pPr>
        <w:ind w:firstLine="480" w:firstLineChars="200"/>
        <w:rPr>
          <w:rFonts w:hint="eastAsia" w:ascii="宋体" w:hAnsi="宋体" w:eastAsia="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（3）</w:t>
      </w:r>
      <w:r>
        <w:rPr>
          <w:rFonts w:hint="eastAsia" w:ascii="宋体" w:hAnsi="宋体" w:eastAsia="宋体" w:cs="宋体"/>
          <w:b w:val="0"/>
          <w:bCs w:val="0"/>
          <w:sz w:val="24"/>
          <w:szCs w:val="24"/>
          <w:highlight w:val="none"/>
          <w:lang w:val="en-US" w:eastAsia="zh-CN"/>
        </w:rPr>
        <w:t>磋商文件；</w:t>
      </w:r>
    </w:p>
    <w:p w14:paraId="6A833784">
      <w:pPr>
        <w:ind w:firstLine="480" w:firstLineChars="200"/>
        <w:rPr>
          <w:rFonts w:hint="eastAsia" w:ascii="宋体" w:hAnsi="宋体" w:eastAsia="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（4）</w:t>
      </w:r>
      <w:r>
        <w:rPr>
          <w:rFonts w:hint="eastAsia" w:ascii="宋体" w:hAnsi="宋体" w:eastAsia="宋体" w:cs="宋体"/>
          <w:b w:val="0"/>
          <w:bCs w:val="0"/>
          <w:sz w:val="24"/>
          <w:szCs w:val="24"/>
          <w:highlight w:val="none"/>
          <w:lang w:val="en-US" w:eastAsia="zh-CN"/>
        </w:rPr>
        <w:t>成交人的响应文件；</w:t>
      </w:r>
    </w:p>
    <w:p w14:paraId="564999E0">
      <w:pPr>
        <w:ind w:firstLine="480" w:firstLineChars="200"/>
        <w:rPr>
          <w:rFonts w:hint="eastAsia" w:ascii="宋体" w:hAnsi="宋体" w:cs="宋体"/>
          <w:b/>
          <w:bCs/>
          <w:kern w:val="0"/>
          <w:sz w:val="24"/>
          <w:szCs w:val="21"/>
          <w:lang w:val="en-US" w:eastAsia="zh-CN"/>
        </w:rPr>
      </w:pPr>
      <w:r>
        <w:rPr>
          <w:rFonts w:hint="eastAsia" w:ascii="宋体" w:hAnsi="宋体" w:cs="宋体"/>
          <w:b w:val="0"/>
          <w:bCs w:val="0"/>
          <w:sz w:val="24"/>
          <w:szCs w:val="24"/>
          <w:highlight w:val="none"/>
          <w:lang w:val="en-US" w:eastAsia="zh-CN"/>
        </w:rPr>
        <w:t>（5）</w:t>
      </w:r>
      <w:r>
        <w:rPr>
          <w:rFonts w:hint="eastAsia" w:ascii="宋体" w:hAnsi="宋体" w:eastAsia="宋体" w:cs="宋体"/>
          <w:b w:val="0"/>
          <w:bCs w:val="0"/>
          <w:sz w:val="24"/>
          <w:szCs w:val="24"/>
          <w:highlight w:val="none"/>
          <w:lang w:val="en-US" w:eastAsia="zh-CN"/>
        </w:rPr>
        <w:t>服务内容。</w:t>
      </w:r>
    </w:p>
    <w:p w14:paraId="22B0ED9A">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kern w:val="0"/>
          <w:sz w:val="24"/>
          <w:szCs w:val="21"/>
          <w:lang w:val="en-US" w:eastAsia="zh-CN"/>
        </w:rPr>
      </w:pPr>
      <w:r>
        <w:rPr>
          <w:rFonts w:hint="eastAsia" w:ascii="宋体" w:hAnsi="宋体" w:cs="宋体"/>
          <w:b/>
          <w:bCs/>
          <w:kern w:val="0"/>
          <w:sz w:val="24"/>
          <w:szCs w:val="21"/>
          <w:lang w:val="en-US" w:eastAsia="zh-CN"/>
        </w:rPr>
        <w:t>十三、知识产权归属和处理方式</w:t>
      </w:r>
    </w:p>
    <w:p w14:paraId="33BEFA04">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val="0"/>
          <w:kern w:val="0"/>
          <w:sz w:val="24"/>
          <w:szCs w:val="21"/>
        </w:rPr>
      </w:pPr>
      <w:r>
        <w:rPr>
          <w:rFonts w:hint="eastAsia" w:ascii="宋体" w:hAnsi="宋体" w:cs="宋体"/>
          <w:b w:val="0"/>
          <w:bCs w:val="0"/>
          <w:kern w:val="0"/>
          <w:sz w:val="24"/>
          <w:szCs w:val="21"/>
          <w:lang w:val="en-US" w:eastAsia="zh-CN"/>
        </w:rPr>
        <w:t>1、</w:t>
      </w:r>
      <w:r>
        <w:rPr>
          <w:rFonts w:hint="eastAsia" w:ascii="宋体" w:hAnsi="宋体" w:cs="宋体"/>
          <w:b w:val="0"/>
          <w:bCs w:val="0"/>
          <w:kern w:val="0"/>
          <w:sz w:val="24"/>
          <w:szCs w:val="21"/>
        </w:rPr>
        <w:t>甲方委托乙方</w:t>
      </w:r>
      <w:r>
        <w:rPr>
          <w:rFonts w:hint="eastAsia" w:ascii="宋体" w:hAnsi="宋体" w:cs="宋体"/>
          <w:b w:val="0"/>
          <w:bCs w:val="0"/>
          <w:kern w:val="0"/>
          <w:sz w:val="24"/>
          <w:szCs w:val="21"/>
          <w:lang w:val="en-US" w:eastAsia="zh-CN"/>
        </w:rPr>
        <w:t>的服务</w:t>
      </w:r>
      <w:r>
        <w:rPr>
          <w:rFonts w:hint="eastAsia" w:ascii="宋体" w:hAnsi="宋体" w:cs="宋体"/>
          <w:b w:val="0"/>
          <w:bCs w:val="0"/>
          <w:kern w:val="0"/>
          <w:sz w:val="24"/>
          <w:szCs w:val="21"/>
        </w:rPr>
        <w:t>等知识产权归甲方所有，乙方享有署名权。</w:t>
      </w:r>
    </w:p>
    <w:p w14:paraId="3BAD9B49">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val="0"/>
          <w:kern w:val="0"/>
          <w:sz w:val="24"/>
          <w:szCs w:val="21"/>
        </w:rPr>
      </w:pPr>
      <w:r>
        <w:rPr>
          <w:rFonts w:hint="eastAsia" w:ascii="宋体" w:hAnsi="宋体" w:cs="宋体"/>
          <w:b w:val="0"/>
          <w:bCs w:val="0"/>
          <w:kern w:val="0"/>
          <w:sz w:val="24"/>
          <w:szCs w:val="21"/>
          <w:lang w:val="en-US" w:eastAsia="zh-CN"/>
        </w:rPr>
        <w:t>2、</w:t>
      </w:r>
      <w:r>
        <w:rPr>
          <w:rFonts w:hint="eastAsia" w:ascii="宋体" w:hAnsi="宋体" w:cs="宋体"/>
          <w:b w:val="0"/>
          <w:bCs w:val="0"/>
          <w:kern w:val="0"/>
          <w:sz w:val="24"/>
          <w:szCs w:val="21"/>
        </w:rPr>
        <w:t>乙方在合同履行中使用自身已有的知识产权，该部分权利仍归乙方所有，但甲方有权在合同范围内无偿使用。</w:t>
      </w:r>
    </w:p>
    <w:p w14:paraId="4576B4E2">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val="0"/>
          <w:kern w:val="0"/>
          <w:sz w:val="24"/>
          <w:szCs w:val="21"/>
        </w:rPr>
      </w:pPr>
      <w:r>
        <w:rPr>
          <w:rFonts w:hint="eastAsia" w:ascii="宋体" w:hAnsi="宋体" w:cs="宋体"/>
          <w:b w:val="0"/>
          <w:bCs w:val="0"/>
          <w:kern w:val="0"/>
          <w:sz w:val="24"/>
          <w:szCs w:val="21"/>
        </w:rPr>
        <w:t xml:space="preserve"> </w:t>
      </w:r>
      <w:r>
        <w:rPr>
          <w:rFonts w:hint="eastAsia" w:ascii="宋体" w:hAnsi="宋体" w:cs="宋体"/>
          <w:b w:val="0"/>
          <w:bCs w:val="0"/>
          <w:kern w:val="0"/>
          <w:sz w:val="24"/>
          <w:szCs w:val="21"/>
          <w:lang w:val="en-US" w:eastAsia="zh-CN"/>
        </w:rPr>
        <w:t>3、</w:t>
      </w:r>
      <w:r>
        <w:rPr>
          <w:rFonts w:hint="eastAsia" w:ascii="宋体" w:hAnsi="宋体" w:cs="宋体"/>
          <w:b w:val="0"/>
          <w:bCs w:val="0"/>
          <w:kern w:val="0"/>
          <w:sz w:val="24"/>
          <w:szCs w:val="21"/>
        </w:rPr>
        <w:t>甲方有权在合同约定的业务范围、地域及期限内使用相关知识产权，未经乙方同意不得超范围使用。</w:t>
      </w:r>
    </w:p>
    <w:p w14:paraId="3D2D3D5B">
      <w:pPr>
        <w:widowControl/>
        <w:tabs>
          <w:tab w:val="left" w:pos="0"/>
          <w:tab w:val="left" w:pos="437"/>
          <w:tab w:val="left" w:pos="1311"/>
        </w:tabs>
        <w:adjustRightInd w:val="0"/>
        <w:snapToGrid w:val="0"/>
        <w:spacing w:line="360" w:lineRule="auto"/>
        <w:jc w:val="left"/>
        <w:rPr>
          <w:rFonts w:hint="eastAsia" w:ascii="宋体" w:hAnsi="宋体" w:cs="宋体"/>
          <w:b/>
          <w:bCs/>
          <w:kern w:val="0"/>
          <w:sz w:val="24"/>
          <w:szCs w:val="21"/>
        </w:rPr>
      </w:pPr>
      <w:r>
        <w:rPr>
          <w:rFonts w:hint="eastAsia" w:ascii="宋体" w:hAnsi="宋体" w:cs="宋体"/>
          <w:b w:val="0"/>
          <w:bCs w:val="0"/>
          <w:kern w:val="0"/>
          <w:sz w:val="24"/>
          <w:szCs w:val="21"/>
          <w:lang w:val="en-US" w:eastAsia="zh-CN"/>
        </w:rPr>
        <w:t xml:space="preserve">    4、</w:t>
      </w:r>
      <w:r>
        <w:rPr>
          <w:rFonts w:hint="eastAsia" w:ascii="宋体" w:hAnsi="宋体" w:cs="宋体"/>
          <w:b w:val="0"/>
          <w:bCs w:val="0"/>
          <w:kern w:val="0"/>
          <w:sz w:val="24"/>
          <w:szCs w:val="21"/>
        </w:rPr>
        <w:t>乙方保留知识产权的其他权利（如再授权、二次开发等），但不得损害甲方已获授权的权益。</w:t>
      </w:r>
    </w:p>
    <w:p w14:paraId="7CCF22DA">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kern w:val="0"/>
          <w:sz w:val="24"/>
          <w:szCs w:val="21"/>
        </w:rPr>
      </w:pPr>
      <w:r>
        <w:rPr>
          <w:rFonts w:hint="eastAsia" w:ascii="宋体" w:hAnsi="宋体" w:cs="宋体"/>
          <w:b/>
          <w:bCs/>
          <w:kern w:val="0"/>
          <w:sz w:val="24"/>
          <w:szCs w:val="21"/>
          <w:lang w:val="en-US" w:eastAsia="zh-CN"/>
        </w:rPr>
        <w:t>十四</w:t>
      </w:r>
      <w:r>
        <w:rPr>
          <w:rFonts w:hint="eastAsia" w:ascii="宋体" w:hAnsi="宋体" w:cs="宋体"/>
          <w:b/>
          <w:bCs/>
          <w:kern w:val="0"/>
          <w:sz w:val="24"/>
          <w:szCs w:val="21"/>
        </w:rPr>
        <w:t>、诉讼</w:t>
      </w:r>
    </w:p>
    <w:p w14:paraId="11711DDC">
      <w:pPr>
        <w:widowControl/>
        <w:tabs>
          <w:tab w:val="left" w:pos="0"/>
          <w:tab w:val="left" w:pos="437"/>
          <w:tab w:val="left" w:pos="1311"/>
        </w:tabs>
        <w:adjustRightInd w:val="0"/>
        <w:snapToGrid w:val="0"/>
        <w:spacing w:line="360" w:lineRule="auto"/>
        <w:ind w:firstLine="448" w:firstLineChars="200"/>
        <w:jc w:val="left"/>
        <w:rPr>
          <w:rFonts w:hint="eastAsia" w:ascii="宋体" w:hAnsi="宋体" w:cs="宋体"/>
          <w:spacing w:val="-8"/>
          <w:kern w:val="0"/>
          <w:sz w:val="24"/>
          <w:szCs w:val="21"/>
        </w:rPr>
      </w:pPr>
      <w:r>
        <w:rPr>
          <w:rFonts w:hint="eastAsia" w:ascii="宋体" w:hAnsi="宋体" w:cs="宋体"/>
          <w:spacing w:val="-8"/>
          <w:kern w:val="0"/>
          <w:sz w:val="24"/>
          <w:szCs w:val="21"/>
        </w:rPr>
        <w:t>双方在执行合同中所发生的一切争议，应通过协商解决。如协商不成，可向采购人所在地法院起诉。</w:t>
      </w:r>
    </w:p>
    <w:p w14:paraId="497706B2">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bCs/>
          <w:kern w:val="0"/>
          <w:sz w:val="24"/>
          <w:szCs w:val="21"/>
        </w:rPr>
      </w:pPr>
      <w:r>
        <w:rPr>
          <w:rFonts w:hint="eastAsia" w:ascii="宋体" w:hAnsi="宋体" w:cs="宋体"/>
          <w:b/>
          <w:bCs/>
          <w:kern w:val="0"/>
          <w:sz w:val="24"/>
          <w:szCs w:val="21"/>
        </w:rPr>
        <w:t>十</w:t>
      </w:r>
      <w:r>
        <w:rPr>
          <w:rFonts w:hint="eastAsia" w:ascii="宋体" w:hAnsi="宋体" w:cs="宋体"/>
          <w:b/>
          <w:bCs/>
          <w:kern w:val="0"/>
          <w:sz w:val="24"/>
          <w:szCs w:val="21"/>
          <w:lang w:val="en-US" w:eastAsia="zh-CN"/>
        </w:rPr>
        <w:t>五</w:t>
      </w:r>
      <w:r>
        <w:rPr>
          <w:rFonts w:hint="eastAsia" w:ascii="宋体" w:hAnsi="宋体" w:cs="宋体"/>
          <w:b/>
          <w:bCs/>
          <w:kern w:val="0"/>
          <w:sz w:val="24"/>
          <w:szCs w:val="21"/>
        </w:rPr>
        <w:t>、合同生效及其它</w:t>
      </w:r>
    </w:p>
    <w:p w14:paraId="4D2F84C6">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kern w:val="0"/>
          <w:sz w:val="24"/>
          <w:szCs w:val="21"/>
        </w:rPr>
      </w:pPr>
      <w:r>
        <w:rPr>
          <w:rFonts w:hint="eastAsia" w:ascii="宋体" w:hAnsi="宋体" w:cs="宋体"/>
          <w:kern w:val="0"/>
          <w:sz w:val="24"/>
          <w:szCs w:val="21"/>
        </w:rPr>
        <w:t>1、本合同经采购人、供应商法定代表人或其委托人签字并加盖公章后生效。</w:t>
      </w:r>
    </w:p>
    <w:p w14:paraId="089C97B5">
      <w:pPr>
        <w:widowControl/>
        <w:tabs>
          <w:tab w:val="left" w:pos="0"/>
          <w:tab w:val="left" w:pos="437"/>
          <w:tab w:val="left" w:pos="1311"/>
        </w:tabs>
        <w:adjustRightInd w:val="0"/>
        <w:snapToGrid w:val="0"/>
        <w:spacing w:line="360" w:lineRule="auto"/>
        <w:ind w:firstLine="448" w:firstLineChars="200"/>
        <w:jc w:val="left"/>
        <w:rPr>
          <w:rFonts w:hint="eastAsia" w:ascii="宋体" w:hAnsi="宋体" w:cs="宋体"/>
          <w:spacing w:val="-8"/>
          <w:kern w:val="0"/>
          <w:sz w:val="24"/>
          <w:szCs w:val="21"/>
        </w:rPr>
      </w:pPr>
      <w:r>
        <w:rPr>
          <w:rFonts w:hint="eastAsia" w:ascii="宋体" w:hAnsi="宋体" w:cs="宋体"/>
          <w:spacing w:val="-8"/>
          <w:kern w:val="0"/>
          <w:sz w:val="24"/>
          <w:szCs w:val="21"/>
        </w:rPr>
        <w:t>2、本合同一式</w:t>
      </w:r>
      <w:r>
        <w:rPr>
          <w:rFonts w:hint="eastAsia" w:ascii="宋体" w:hAnsi="宋体" w:cs="宋体"/>
          <w:spacing w:val="-8"/>
          <w:kern w:val="0"/>
          <w:sz w:val="24"/>
          <w:szCs w:val="21"/>
          <w:u w:val="single"/>
        </w:rPr>
        <w:t>陆</w:t>
      </w:r>
      <w:r>
        <w:rPr>
          <w:rFonts w:hint="eastAsia" w:ascii="宋体" w:hAnsi="宋体" w:cs="宋体"/>
          <w:spacing w:val="-8"/>
          <w:kern w:val="0"/>
          <w:sz w:val="24"/>
          <w:szCs w:val="21"/>
        </w:rPr>
        <w:t>份，采购人、供应商各执</w:t>
      </w:r>
      <w:r>
        <w:rPr>
          <w:rFonts w:hint="eastAsia" w:ascii="宋体" w:hAnsi="宋体" w:cs="宋体"/>
          <w:spacing w:val="-8"/>
          <w:kern w:val="0"/>
          <w:sz w:val="24"/>
          <w:szCs w:val="21"/>
          <w:u w:val="single"/>
        </w:rPr>
        <w:t>贰</w:t>
      </w:r>
      <w:r>
        <w:rPr>
          <w:rFonts w:hint="eastAsia" w:ascii="宋体" w:hAnsi="宋体" w:cs="宋体"/>
          <w:spacing w:val="-8"/>
          <w:kern w:val="0"/>
          <w:sz w:val="24"/>
          <w:szCs w:val="21"/>
        </w:rPr>
        <w:t>份，其余相关部门各</w:t>
      </w:r>
      <w:r>
        <w:rPr>
          <w:rFonts w:hint="eastAsia" w:ascii="宋体" w:hAnsi="宋体" w:cs="宋体"/>
          <w:spacing w:val="-8"/>
          <w:kern w:val="0"/>
          <w:sz w:val="24"/>
          <w:szCs w:val="21"/>
          <w:u w:val="single"/>
        </w:rPr>
        <w:t>壹</w:t>
      </w:r>
      <w:r>
        <w:rPr>
          <w:rFonts w:hint="eastAsia" w:ascii="宋体" w:hAnsi="宋体" w:cs="宋体"/>
          <w:spacing w:val="-8"/>
          <w:kern w:val="0"/>
          <w:sz w:val="24"/>
          <w:szCs w:val="21"/>
        </w:rPr>
        <w:t>份。</w:t>
      </w:r>
    </w:p>
    <w:p w14:paraId="41AEE987">
      <w:pPr>
        <w:pStyle w:val="3"/>
        <w:spacing w:line="440" w:lineRule="exact"/>
        <w:rPr>
          <w:rFonts w:hint="eastAsia" w:ascii="宋体" w:hAnsi="宋体" w:cs="宋体"/>
          <w:kern w:val="0"/>
          <w:szCs w:val="21"/>
        </w:rPr>
      </w:pPr>
    </w:p>
    <w:p w14:paraId="5A11BEC3">
      <w:pPr>
        <w:rPr>
          <w:rFonts w:hint="eastAsia"/>
        </w:rPr>
      </w:pPr>
    </w:p>
    <w:p w14:paraId="2E466864">
      <w:pPr>
        <w:pStyle w:val="2"/>
        <w:rPr>
          <w:rFonts w:hint="eastAsia" w:eastAsia="宋体"/>
        </w:rPr>
      </w:pPr>
      <w:bookmarkStart w:id="6" w:name="_GoBack"/>
      <w:bookmarkEnd w:id="6"/>
    </w:p>
    <w:p w14:paraId="2C8F0CFD">
      <w:pPr>
        <w:pStyle w:val="3"/>
        <w:spacing w:line="440" w:lineRule="exact"/>
        <w:ind w:firstLine="240" w:firstLineChars="100"/>
        <w:rPr>
          <w:rFonts w:hint="eastAsia" w:ascii="宋体" w:hAnsi="宋体" w:cs="宋体"/>
          <w:color w:val="auto"/>
          <w:kern w:val="0"/>
          <w:szCs w:val="21"/>
        </w:rPr>
      </w:pPr>
      <w:r>
        <w:rPr>
          <w:rFonts w:hint="eastAsia" w:ascii="宋体" w:hAnsi="宋体" w:cs="宋体"/>
          <w:color w:val="auto"/>
          <w:kern w:val="0"/>
          <w:szCs w:val="21"/>
        </w:rPr>
        <w:t xml:space="preserve">采购人（章）：                     </w:t>
      </w:r>
      <w:r>
        <w:rPr>
          <w:rFonts w:ascii="宋体" w:hAnsi="宋体" w:cs="宋体"/>
          <w:color w:val="auto"/>
          <w:kern w:val="0"/>
          <w:szCs w:val="21"/>
        </w:rPr>
        <w:t xml:space="preserve"> </w:t>
      </w:r>
      <w:r>
        <w:rPr>
          <w:rFonts w:hint="eastAsia" w:ascii="宋体" w:hAnsi="宋体" w:cs="宋体"/>
          <w:color w:val="auto"/>
          <w:kern w:val="0"/>
          <w:szCs w:val="21"/>
        </w:rPr>
        <w:t xml:space="preserve">         供应商（章）：         </w:t>
      </w:r>
    </w:p>
    <w:p w14:paraId="5CDFDDB1">
      <w:pPr>
        <w:pStyle w:val="3"/>
        <w:spacing w:line="440" w:lineRule="exact"/>
        <w:rPr>
          <w:rFonts w:ascii="宋体" w:hAnsi="宋体" w:cs="宋体"/>
          <w:color w:val="auto"/>
          <w:kern w:val="0"/>
          <w:szCs w:val="21"/>
        </w:rPr>
      </w:pPr>
    </w:p>
    <w:p w14:paraId="0C06519D">
      <w:pPr>
        <w:pStyle w:val="3"/>
        <w:spacing w:line="440" w:lineRule="exact"/>
        <w:ind w:firstLine="240" w:firstLineChars="100"/>
        <w:rPr>
          <w:rFonts w:hint="eastAsia" w:ascii="宋体" w:hAnsi="宋体" w:cs="宋体"/>
          <w:color w:val="auto"/>
          <w:kern w:val="0"/>
          <w:szCs w:val="21"/>
        </w:rPr>
      </w:pPr>
      <w:r>
        <w:rPr>
          <w:rFonts w:hint="eastAsia" w:ascii="宋体" w:hAnsi="宋体" w:cs="宋体"/>
          <w:color w:val="auto"/>
          <w:kern w:val="0"/>
          <w:szCs w:val="21"/>
        </w:rPr>
        <w:t>法定代表人　</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法定代表人</w:t>
      </w:r>
    </w:p>
    <w:p w14:paraId="47E53262">
      <w:pPr>
        <w:pStyle w:val="3"/>
        <w:spacing w:line="440" w:lineRule="exact"/>
        <w:ind w:firstLine="240" w:firstLineChars="100"/>
        <w:rPr>
          <w:rFonts w:hint="eastAsia" w:ascii="宋体" w:hAnsi="宋体" w:cs="宋体"/>
          <w:color w:val="auto"/>
          <w:kern w:val="0"/>
          <w:szCs w:val="21"/>
        </w:rPr>
      </w:pPr>
      <w:r>
        <w:rPr>
          <w:rFonts w:hint="eastAsia" w:ascii="宋体" w:hAnsi="宋体" w:cs="宋体"/>
          <w:color w:val="auto"/>
          <w:kern w:val="0"/>
          <w:szCs w:val="21"/>
        </w:rPr>
        <w:t>或委托代理人</w:t>
      </w:r>
      <w:r>
        <w:rPr>
          <w:rFonts w:hint="eastAsia" w:ascii="宋体" w:hAnsi="宋体" w:cs="宋体"/>
          <w:color w:val="auto"/>
          <w:kern w:val="0"/>
          <w:szCs w:val="21"/>
          <w:lang w:eastAsia="zh-CN"/>
        </w:rPr>
        <w:t>（</w:t>
      </w:r>
      <w:r>
        <w:rPr>
          <w:rFonts w:hint="eastAsia" w:ascii="宋体" w:hAnsi="宋体" w:cs="宋体"/>
          <w:color w:val="auto"/>
          <w:kern w:val="0"/>
          <w:szCs w:val="21"/>
          <w:lang w:val="en-US" w:eastAsia="zh-CN"/>
        </w:rPr>
        <w:t>签字或盖章</w:t>
      </w:r>
      <w:r>
        <w:rPr>
          <w:rFonts w:hint="eastAsia" w:ascii="宋体" w:hAnsi="宋体" w:cs="宋体"/>
          <w:color w:val="auto"/>
          <w:kern w:val="0"/>
          <w:szCs w:val="21"/>
          <w:lang w:eastAsia="zh-CN"/>
        </w:rPr>
        <w:t>）</w:t>
      </w:r>
      <w:r>
        <w:rPr>
          <w:rFonts w:hint="eastAsia" w:ascii="宋体" w:hAnsi="宋体" w:cs="宋体"/>
          <w:color w:val="auto"/>
          <w:kern w:val="0"/>
          <w:szCs w:val="21"/>
        </w:rPr>
        <w:t xml:space="preserve">：          </w:t>
      </w:r>
      <w:r>
        <w:rPr>
          <w:rFonts w:ascii="宋体" w:hAnsi="宋体" w:cs="宋体"/>
          <w:color w:val="auto"/>
          <w:kern w:val="0"/>
          <w:szCs w:val="21"/>
        </w:rPr>
        <w:t xml:space="preserve">   </w:t>
      </w:r>
      <w:r>
        <w:rPr>
          <w:rFonts w:hint="eastAsia" w:ascii="宋体" w:hAnsi="宋体" w:cs="宋体"/>
          <w:color w:val="auto"/>
          <w:kern w:val="0"/>
          <w:szCs w:val="21"/>
        </w:rPr>
        <w:t xml:space="preserve">   或委托代理人</w:t>
      </w:r>
      <w:r>
        <w:rPr>
          <w:rFonts w:hint="eastAsia" w:ascii="宋体" w:hAnsi="宋体" w:cs="宋体"/>
          <w:color w:val="auto"/>
          <w:kern w:val="0"/>
          <w:szCs w:val="21"/>
          <w:lang w:eastAsia="zh-CN"/>
        </w:rPr>
        <w:t>（</w:t>
      </w:r>
      <w:r>
        <w:rPr>
          <w:rFonts w:hint="eastAsia" w:ascii="宋体" w:hAnsi="宋体" w:cs="宋体"/>
          <w:color w:val="auto"/>
          <w:kern w:val="0"/>
          <w:szCs w:val="21"/>
          <w:lang w:val="en-US" w:eastAsia="zh-CN"/>
        </w:rPr>
        <w:t>签字或盖章</w:t>
      </w:r>
      <w:r>
        <w:rPr>
          <w:rFonts w:hint="eastAsia" w:ascii="宋体" w:hAnsi="宋体" w:cs="宋体"/>
          <w:color w:val="auto"/>
          <w:kern w:val="0"/>
          <w:szCs w:val="21"/>
          <w:lang w:eastAsia="zh-CN"/>
        </w:rPr>
        <w:t>）</w:t>
      </w:r>
      <w:r>
        <w:rPr>
          <w:rFonts w:hint="eastAsia" w:ascii="宋体" w:hAnsi="宋体" w:cs="宋体"/>
          <w:color w:val="auto"/>
          <w:kern w:val="0"/>
          <w:szCs w:val="21"/>
        </w:rPr>
        <w:t xml:space="preserve">：  </w:t>
      </w:r>
    </w:p>
    <w:p w14:paraId="66E1CC14">
      <w:pPr>
        <w:pStyle w:val="3"/>
        <w:spacing w:line="440" w:lineRule="exact"/>
        <w:ind w:firstLine="600" w:firstLineChars="250"/>
        <w:rPr>
          <w:rFonts w:hint="eastAsia" w:ascii="宋体" w:hAnsi="宋体" w:cs="宋体"/>
          <w:color w:val="auto"/>
          <w:kern w:val="0"/>
          <w:szCs w:val="21"/>
        </w:rPr>
      </w:pPr>
    </w:p>
    <w:p w14:paraId="6BE55B94">
      <w:pPr>
        <w:pStyle w:val="3"/>
        <w:spacing w:line="440" w:lineRule="exact"/>
        <w:ind w:firstLine="840" w:firstLineChars="350"/>
        <w:rPr>
          <w:rFonts w:hint="eastAsia" w:ascii="宋体" w:hAnsi="宋体" w:cs="宋体"/>
          <w:color w:val="auto"/>
          <w:kern w:val="0"/>
          <w:szCs w:val="21"/>
        </w:rPr>
      </w:pPr>
      <w:r>
        <w:rPr>
          <w:rFonts w:hint="eastAsia" w:ascii="宋体" w:hAnsi="宋体" w:cs="宋体"/>
          <w:color w:val="auto"/>
          <w:kern w:val="0"/>
          <w:szCs w:val="21"/>
        </w:rPr>
        <w:t xml:space="preserve">年   月   日                      </w:t>
      </w:r>
      <w:r>
        <w:rPr>
          <w:rFonts w:ascii="宋体" w:hAnsi="宋体" w:cs="宋体"/>
          <w:color w:val="auto"/>
          <w:kern w:val="0"/>
          <w:szCs w:val="21"/>
        </w:rPr>
        <w:t xml:space="preserve">  </w:t>
      </w:r>
      <w:r>
        <w:rPr>
          <w:rFonts w:hint="eastAsia" w:ascii="宋体" w:hAnsi="宋体" w:cs="宋体"/>
          <w:color w:val="auto"/>
          <w:kern w:val="0"/>
          <w:szCs w:val="21"/>
        </w:rPr>
        <w:t xml:space="preserve">         年   月   日</w:t>
      </w:r>
    </w:p>
    <w:p w14:paraId="16747C17"/>
    <w:sectPr>
      <w:footerReference r:id="rId5" w:type="default"/>
      <w:pgSz w:w="11906" w:h="16838"/>
      <w:pgMar w:top="1417" w:right="1417" w:bottom="1417" w:left="1417" w:header="851" w:footer="992" w:gutter="0"/>
      <w:pgNumType w:fmt="decimal" w:start="1"/>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FA0FC9">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1F223B">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51F223B">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18ABE6"/>
    <w:multiLevelType w:val="singleLevel"/>
    <w:tmpl w:val="F618ABE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780EC1"/>
    <w:rsid w:val="02734277"/>
    <w:rsid w:val="02C61690"/>
    <w:rsid w:val="26780EC1"/>
    <w:rsid w:val="2FE855A3"/>
    <w:rsid w:val="37926CD8"/>
    <w:rsid w:val="401710AA"/>
    <w:rsid w:val="6861413A"/>
    <w:rsid w:val="6DAF0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3">
    <w:name w:val="Body Text"/>
    <w:basedOn w:val="1"/>
    <w:next w:val="1"/>
    <w:qFormat/>
    <w:uiPriority w:val="99"/>
    <w:rPr>
      <w:color w:val="993300"/>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Subtitle"/>
    <w:basedOn w:val="1"/>
    <w:next w:val="1"/>
    <w:qFormat/>
    <w:uiPriority w:val="0"/>
    <w:pPr>
      <w:keepNext/>
      <w:adjustRightInd w:val="0"/>
      <w:spacing w:before="240" w:after="60" w:line="312" w:lineRule="atLeast"/>
      <w:jc w:val="center"/>
      <w:textAlignment w:val="baseline"/>
    </w:pPr>
    <w:rPr>
      <w:rFonts w:ascii="Arial" w:hAnsi="Arial"/>
      <w:b/>
      <w:kern w:val="0"/>
      <w:sz w:val="32"/>
      <w:szCs w:val="20"/>
    </w:rPr>
  </w:style>
  <w:style w:type="paragraph" w:styleId="7">
    <w:name w:val="table of figures"/>
    <w:basedOn w:val="1"/>
    <w:next w:val="1"/>
    <w:qFormat/>
    <w:uiPriority w:val="0"/>
    <w:pPr>
      <w:spacing w:line="360" w:lineRule="auto"/>
      <w:ind w:hanging="200"/>
    </w:pPr>
    <w:rPr>
      <w:rFonts w:ascii="宋体"/>
      <w:kern w:val="0"/>
      <w:sz w:val="20"/>
      <w:szCs w:val="20"/>
    </w:rPr>
  </w:style>
  <w:style w:type="paragraph" w:styleId="8">
    <w:name w:val="Title"/>
    <w:basedOn w:val="1"/>
    <w:next w:val="1"/>
    <w:qFormat/>
    <w:uiPriority w:val="0"/>
    <w:pPr>
      <w:spacing w:before="240" w:after="60"/>
      <w:jc w:val="center"/>
      <w:outlineLvl w:val="0"/>
    </w:pPr>
    <w:rPr>
      <w:rFonts w:ascii="Cambria" w:hAnsi="Cambria"/>
      <w:b/>
      <w:bCs/>
      <w:sz w:val="32"/>
      <w:szCs w:val="32"/>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3833</Words>
  <Characters>3886</Characters>
  <Lines>0</Lines>
  <Paragraphs>0</Paragraphs>
  <TotalTime>0</TotalTime>
  <ScaleCrop>false</ScaleCrop>
  <LinksUpToDate>false</LinksUpToDate>
  <CharactersWithSpaces>4106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2025-04-03T08:08:00Z</dcterms:created>
  <dc:creator>有点甜</dc:creator>
  <cp:lastModifiedBy>WPS_1763105243</cp:lastModifiedBy>
  <dcterms:modified xsi:type="dcterms:W3CDTF">2026-02-09T02:12:06Z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A2C66558858741D68CE948652720127F_11</vt:lpwstr>
  </property>
  <property fmtid="{D5CDD505-2E9C-101B-9397-08002B2CF9AE}" pid="4" name="KSOTemplateDocerSaveRecord">
    <vt:lpwstr>eyJoZGlkIjoiNzRmYTc3NGRiZGYyYzEyMDJmNGQwMjAyYmI3NjZiYWUiLCJ1c2VySWQiOiIxNzcwMzk1OTI4In0=</vt:lpwstr>
  </property>
</Properties>
</file>