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版本号：ZHDX005-26HZ20260319001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渭南市华州区组团详细规划（控制性）单元划定及单元详细规划编制项目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ZHDX005-26HZ</w:t>
      </w:r>
      <w:r>
        <w:br/>
      </w:r>
      <w:r>
        <w:br/>
      </w:r>
      <w:r>
        <w:br/>
      </w:r>
    </w:p>
    <w:p>
      <w:pPr>
        <w:pStyle w:val="null3"/>
        <w:jc w:val="center"/>
        <w:outlineLvl w:val="2"/>
      </w:pPr>
      <w:r>
        <w:rPr>
          <w:rFonts w:ascii="仿宋_GB2312" w:hAnsi="仿宋_GB2312" w:cs="仿宋_GB2312" w:eastAsia="仿宋_GB2312"/>
          <w:sz w:val="28"/>
          <w:b/>
        </w:rPr>
        <w:t>渭南市华州区自然资源局</w:t>
      </w:r>
    </w:p>
    <w:p>
      <w:pPr>
        <w:pStyle w:val="null3"/>
        <w:jc w:val="center"/>
        <w:outlineLvl w:val="2"/>
      </w:pPr>
      <w:r>
        <w:rPr>
          <w:rFonts w:ascii="仿宋_GB2312" w:hAnsi="仿宋_GB2312" w:cs="仿宋_GB2312" w:eastAsia="仿宋_GB2312"/>
          <w:sz w:val="28"/>
          <w:b/>
        </w:rPr>
        <w:t>中寰鼎信（陕西）项目管理有限公司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中寰鼎信（陕西）项目管理有限公司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渭南市华州区自然资源局</w:t>
      </w:r>
      <w:r>
        <w:rPr>
          <w:rFonts w:ascii="仿宋_GB2312" w:hAnsi="仿宋_GB2312" w:cs="仿宋_GB2312" w:eastAsia="仿宋_GB2312"/>
        </w:rPr>
        <w:t>委托，拟对</w:t>
      </w:r>
      <w:r>
        <w:rPr>
          <w:rFonts w:ascii="仿宋_GB2312" w:hAnsi="仿宋_GB2312" w:cs="仿宋_GB2312" w:eastAsia="仿宋_GB2312"/>
        </w:rPr>
        <w:t>渭南市华州区组团详细规划（控制性）单元划定及单元详细规划编制项目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ZHDX005-26HZ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渭南市华州区组团详细规划（控制性）单元划定及单元详细规划编制项目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严格落实国土空间总体规划传导要求，纳入相关专项规划空间管控要求，确定详细规划单元主导功能，明确底线约束、总量控制要求、细化用地类型，明确公共服务配套设施、交通基础设施、市政公用设施、防灾设施等相关要求，需对渭南市华州片区(含华州城区组团、华州西区组团)11个城镇单元层面详细规划文本、规划说明、图纸、单元普适图则、数据库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采购包1（渭南市华州区组团详细规划（控制性）单元划定及单元详细规划编制项目）：属于专门面向中小企业采购。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1、有效的主体资格证明：供应商应为中华人民共和国境内注册的独立法人企业或其他组织，具备合法有效的营业执照或事业单位法人证书等国家规定的相关证明。</w:t>
      </w:r>
    </w:p>
    <w:p>
      <w:pPr>
        <w:pStyle w:val="null3"/>
      </w:pPr>
      <w:r>
        <w:rPr>
          <w:rFonts w:ascii="仿宋_GB2312" w:hAnsi="仿宋_GB2312" w:cs="仿宋_GB2312" w:eastAsia="仿宋_GB2312"/>
        </w:rPr>
        <w:t>2、法定代表人委托授权书：非法定代表人参加磋商时，须提供法定代表人授权委托书、被授权人身份证及授权代表在响应文件递交截止之日前在本单位近3个月内任意一个月的社保证明；法定代表人参加磋商时,须提供法人身份证明书及法定代表人身份证。</w:t>
      </w:r>
    </w:p>
    <w:p>
      <w:pPr>
        <w:pStyle w:val="null3"/>
      </w:pPr>
      <w:r>
        <w:rPr>
          <w:rFonts w:ascii="仿宋_GB2312" w:hAnsi="仿宋_GB2312" w:cs="仿宋_GB2312" w:eastAsia="仿宋_GB2312"/>
        </w:rPr>
        <w:t>3、税收缴纳证明：提供磋商截止时间前六个月内任意一个月的依法缴纳税收的相关凭据（任意税种）。依法免税或无须缴纳税收的供应商，应提供相应证明文件。</w:t>
      </w:r>
    </w:p>
    <w:p>
      <w:pPr>
        <w:pStyle w:val="null3"/>
      </w:pPr>
      <w:r>
        <w:rPr>
          <w:rFonts w:ascii="仿宋_GB2312" w:hAnsi="仿宋_GB2312" w:cs="仿宋_GB2312" w:eastAsia="仿宋_GB2312"/>
        </w:rPr>
        <w:t>4、社会保障资金缴纳证明：提供磋商截止时间前六个月内任意一个月的社会保障资金缴存单据或社保机构开具的社会保险参保缴费情况证明，依法不需要缴纳社会保障资金的单位应提供相关证明材料。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报告：提供具有财务审计资质单位出具的2024年度或2025年度财务报告（成立时间至磋商时间不足一年的可提供成立后任意时段的资产负债表）或磋商前六个月内其基本账户银行出具的资信证明（附开户许可证或基本账户证明）。</w:t>
      </w:r>
    </w:p>
    <w:p>
      <w:pPr>
        <w:pStyle w:val="null3"/>
      </w:pPr>
      <w:r>
        <w:rPr>
          <w:rFonts w:ascii="仿宋_GB2312" w:hAnsi="仿宋_GB2312" w:cs="仿宋_GB2312" w:eastAsia="仿宋_GB2312"/>
        </w:rPr>
        <w:t>6、供应商资质：供应商应具备行政主管部门颁发的城乡规划编制乙级（含）以上资质。</w:t>
      </w:r>
    </w:p>
    <w:p>
      <w:pPr>
        <w:pStyle w:val="null3"/>
      </w:pPr>
      <w:r>
        <w:rPr>
          <w:rFonts w:ascii="仿宋_GB2312" w:hAnsi="仿宋_GB2312" w:cs="仿宋_GB2312" w:eastAsia="仿宋_GB2312"/>
        </w:rPr>
        <w:t>7、项目负责人：拟派项目负责人须具有城乡规划师注册职业资格，并具有该专业的中级及以上职称，且为本单位在职人员（提供近6个月内任意一个月的社保证明）。</w:t>
      </w:r>
    </w:p>
    <w:p>
      <w:pPr>
        <w:pStyle w:val="null3"/>
      </w:pPr>
      <w:r>
        <w:rPr>
          <w:rFonts w:ascii="仿宋_GB2312" w:hAnsi="仿宋_GB2312" w:cs="仿宋_GB2312" w:eastAsia="仿宋_GB2312"/>
        </w:rPr>
        <w:t>8、能力证明承诺书：具有履行合同所必需的设备和专业技术能力，提供承诺书。</w:t>
      </w:r>
    </w:p>
    <w:p>
      <w:pPr>
        <w:pStyle w:val="null3"/>
      </w:pPr>
      <w:r>
        <w:rPr>
          <w:rFonts w:ascii="仿宋_GB2312" w:hAnsi="仿宋_GB2312" w:cs="仿宋_GB2312" w:eastAsia="仿宋_GB2312"/>
        </w:rPr>
        <w:t>9、无重大违法声明：供应商须出具参加采购活动前三年内，在经营活动中没有重大违法记录的书面声明。</w:t>
      </w:r>
    </w:p>
    <w:p>
      <w:pPr>
        <w:pStyle w:val="null3"/>
      </w:pPr>
      <w:r>
        <w:rPr>
          <w:rFonts w:ascii="仿宋_GB2312" w:hAnsi="仿宋_GB2312" w:cs="仿宋_GB2312" w:eastAsia="仿宋_GB2312"/>
        </w:rPr>
        <w:t>10、信用查询：供应商未被“信用中国”网站（www.creditchina.gov.cn）列入失信被执行人和重大税收违法失信主体，未被中国政府采购网（www.ccgp.gov.cn）列入政府采购严重违法失信行为记录名单。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0913-4731223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中寰鼎信（陕西）项目管理有限公司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陕西省西安市雁塔区小寨东路百隆广场B座1806室HMFHQ297号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姜飔垚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18802935532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采购包1：1,543,100.00元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代理服务费收费标准：参照中华人民共和国国家发展和改革委员会《招标代理服务收费暂行办法》（计价格〔2002〕1980 号）和中华人民共和国国家发展和改革委员会办公厅颁发的《关于招标代理服务收费有关问题的通知》（发改办价格〔2011〕534 号）的标准下浮20%收取服务费。招标代理服务费具体金额将在成交结果公告中公布。 成交供应商在领取成交通知书前，须向采购代理机构一次性支付招标代理服务费。 银行账户： 公司名称：中寰鼎信（陕西）项目管理有限公司 账 号：15041489880055 开 户 行：平安银行西安分行营业部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渭南市华州区自然资源局</w:t>
      </w:r>
      <w:r>
        <w:rPr>
          <w:rFonts w:ascii="仿宋_GB2312" w:hAnsi="仿宋_GB2312" w:cs="仿宋_GB2312" w:eastAsia="仿宋_GB2312"/>
        </w:rPr>
        <w:t>和</w:t>
      </w:r>
      <w:r>
        <w:rPr>
          <w:rFonts w:ascii="仿宋_GB2312" w:hAnsi="仿宋_GB2312" w:cs="仿宋_GB2312" w:eastAsia="仿宋_GB2312"/>
        </w:rPr>
        <w:t>中寰鼎信（陕西）项目管理有限公司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中寰鼎信（陕西）项目管理有限公司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中寰鼎信（陕西）项目管理有限公司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联系人：姜飔垚</w:t>
      </w:r>
    </w:p>
    <w:p>
      <w:pPr>
        <w:pStyle w:val="null3"/>
      </w:pPr>
      <w:r>
        <w:rPr>
          <w:rFonts w:ascii="仿宋_GB2312" w:hAnsi="仿宋_GB2312" w:cs="仿宋_GB2312" w:eastAsia="仿宋_GB2312"/>
        </w:rPr>
        <w:t>联系电话：18802935532</w:t>
      </w:r>
    </w:p>
    <w:p>
      <w:pPr>
        <w:pStyle w:val="null3"/>
      </w:pPr>
      <w:r>
        <w:rPr>
          <w:rFonts w:ascii="仿宋_GB2312" w:hAnsi="仿宋_GB2312" w:cs="仿宋_GB2312" w:eastAsia="仿宋_GB2312"/>
        </w:rPr>
        <w:t>地址：陕西省西安市雁塔区小寨东路百隆广场B座1806室HMFHQ297号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国土空间总体规划传导要求，纳入相关专项规划空间管控要求，确定详细规划单元主导功能，明确底线约束、总量控制要求、细化用地类型，明确公共服务配套设施、交通基础设施、市政公用设施、防灾设施等相关要求，需对渭南市华州片区(含华州城区组团、华州西区组团)11个城镇单元层面详细规划文本、规划说明、图纸、单元普适图则、数据库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1,543,100.00</w:t>
      </w:r>
    </w:p>
    <w:p>
      <w:pPr>
        <w:pStyle w:val="null3"/>
      </w:pPr>
      <w:r>
        <w:rPr>
          <w:rFonts w:ascii="仿宋_GB2312" w:hAnsi="仿宋_GB2312" w:cs="仿宋_GB2312" w:eastAsia="仿宋_GB2312"/>
        </w:rPr>
        <w:t>采购包最高限价（元）: 1,543,100.00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渭南市华州区组团详细规划（控制性）单元划定及单元详细规划编制项目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1,543,100.00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标的名称：渭南市华州区组团详细规划（控制性）单元划定及单元详细规划编制项目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项目</w:t>
            </w:r>
            <w:r>
              <w:rPr>
                <w:rFonts w:ascii="仿宋_GB2312" w:hAnsi="仿宋_GB2312" w:cs="仿宋_GB2312" w:eastAsia="仿宋_GB2312"/>
                <w:sz w:val="24"/>
                <w:b/>
                <w:color w:val="000000"/>
                <w:shd w:fill="FFFFFF" w:val="clear"/>
              </w:rPr>
              <w:t>背景</w:t>
            </w:r>
          </w:p>
          <w:p>
            <w:pPr>
              <w:pStyle w:val="null3"/>
              <w:ind w:firstLine="480"/>
              <w:jc w:val="both"/>
            </w:pPr>
            <w:r>
              <w:rPr>
                <w:rFonts w:ascii="仿宋_GB2312" w:hAnsi="仿宋_GB2312" w:cs="仿宋_GB2312" w:eastAsia="仿宋_GB2312"/>
                <w:sz w:val="24"/>
                <w:color w:val="000000"/>
              </w:rPr>
              <w:t>为落实和深化《渭南市国土空间总体规划（</w:t>
            </w:r>
            <w:r>
              <w:rPr>
                <w:rFonts w:ascii="仿宋_GB2312" w:hAnsi="仿宋_GB2312" w:cs="仿宋_GB2312" w:eastAsia="仿宋_GB2312"/>
                <w:sz w:val="24"/>
                <w:color w:val="000000"/>
              </w:rPr>
              <w:t>2021-2035年）》、《渭南市华州区国土空间总体规划（2021—2035年）》对华州城区组团国土空间保护开发格局、生态空间、农业空间、城镇空间、文化空间、资源要素配置等方面传导要求，纳入相关专项规划空间管控要求，确定详细规划单元主导功能，明确底线约束、总量控制要求、细化用地类型，明确公共服务配套设施、交通基础设施、市政公用</w:t>
            </w:r>
            <w:r>
              <w:rPr>
                <w:rFonts w:ascii="仿宋_GB2312" w:hAnsi="仿宋_GB2312" w:cs="仿宋_GB2312" w:eastAsia="仿宋_GB2312"/>
                <w:sz w:val="24"/>
              </w:rPr>
              <w:t>设施、防灾设施等相关要求，并将结构性、约束性管控要求进行统筹与分解，需编制完成《渭南市华州区城区组团详细规划（控制性）单元划定及单元详细规划》。</w:t>
            </w:r>
          </w:p>
          <w:p>
            <w:pPr>
              <w:pStyle w:val="null3"/>
              <w:jc w:val="both"/>
            </w:pPr>
            <w:r>
              <w:rPr>
                <w:rFonts w:ascii="仿宋_GB2312" w:hAnsi="仿宋_GB2312" w:cs="仿宋_GB2312" w:eastAsia="仿宋_GB2312"/>
                <w:sz w:val="24"/>
                <w:b/>
                <w:color w:val="000000"/>
                <w:shd w:fill="FFFFFF" w:val="clear"/>
              </w:rPr>
              <w:t>2、规划内容及范围</w:t>
            </w:r>
          </w:p>
          <w:p>
            <w:pPr>
              <w:pStyle w:val="null3"/>
              <w:ind w:firstLine="480"/>
              <w:jc w:val="both"/>
            </w:pPr>
            <w:r>
              <w:rPr>
                <w:rFonts w:ascii="仿宋_GB2312" w:hAnsi="仿宋_GB2312" w:cs="仿宋_GB2312" w:eastAsia="仿宋_GB2312"/>
                <w:sz w:val="24"/>
              </w:rPr>
              <w:t>规划范围包括渭南市华州区城区组团</w:t>
            </w:r>
            <w:r>
              <w:rPr>
                <w:rFonts w:ascii="仿宋_GB2312" w:hAnsi="仿宋_GB2312" w:cs="仿宋_GB2312" w:eastAsia="仿宋_GB2312"/>
                <w:sz w:val="24"/>
              </w:rPr>
              <w:t>9个城镇单元和华州西区组团2个城镇单元，总面积3220.88公顷。</w:t>
            </w:r>
          </w:p>
          <w:p>
            <w:pPr>
              <w:pStyle w:val="null3"/>
              <w:ind w:firstLine="480"/>
              <w:jc w:val="both"/>
            </w:pPr>
            <w:r>
              <w:rPr>
                <w:rFonts w:ascii="仿宋_GB2312" w:hAnsi="仿宋_GB2312" w:cs="仿宋_GB2312" w:eastAsia="仿宋_GB2312"/>
                <w:sz w:val="24"/>
                <w:color w:val="000000"/>
              </w:rPr>
              <w:t>规划成果文件包含渭南市华州片区（含华州城区组团、华州西区组团）</w:t>
            </w:r>
            <w:r>
              <w:rPr>
                <w:rFonts w:ascii="仿宋_GB2312" w:hAnsi="仿宋_GB2312" w:cs="仿宋_GB2312" w:eastAsia="仿宋_GB2312"/>
                <w:sz w:val="24"/>
                <w:color w:val="000000"/>
              </w:rPr>
              <w:t>11个城镇单元单元层面详细规划文本、规划说明、图纸、单元普适图则的纸质和电子版、矢量数据库等内容。</w:t>
            </w:r>
          </w:p>
          <w:p>
            <w:pPr>
              <w:pStyle w:val="null3"/>
              <w:jc w:val="both"/>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项目服务期、项目地点、质量要求</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.1服务期限：合同签订之日起60日历日；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.2项目地点：采购单位指定地点；</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.3质量要求：符合相关技术标准、规范，通过省、市、县（区）评审、审批、汇交。</w:t>
            </w:r>
          </w:p>
          <w:p>
            <w:pPr>
              <w:pStyle w:val="null3"/>
              <w:jc w:val="both"/>
            </w:pPr>
            <w:r>
              <w:rPr>
                <w:rFonts w:ascii="仿宋_GB2312" w:hAnsi="仿宋_GB2312" w:cs="仿宋_GB2312" w:eastAsia="仿宋_GB2312"/>
                <w:sz w:val="24"/>
                <w:b/>
                <w:color w:val="000000"/>
                <w:shd w:fill="FFFFFF" w:val="clear"/>
              </w:rPr>
              <w:t>4、服务要求</w:t>
            </w:r>
          </w:p>
          <w:p>
            <w:pPr>
              <w:pStyle w:val="null3"/>
              <w:ind w:firstLine="480"/>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强化规划传导，保障空间管控要素精准落地。</w:t>
            </w:r>
          </w:p>
          <w:p>
            <w:pPr>
              <w:pStyle w:val="null3"/>
              <w:ind w:firstLine="480"/>
              <w:jc w:val="both"/>
            </w:pPr>
            <w:r>
              <w:rPr>
                <w:rFonts w:ascii="仿宋_GB2312" w:hAnsi="仿宋_GB2312" w:cs="仿宋_GB2312" w:eastAsia="仿宋_GB2312"/>
                <w:sz w:val="24"/>
                <w:color w:val="000000"/>
              </w:rPr>
              <w:t>详细规划单元是总体规划向详细规划传导的纽带，是详细规划充分落实国土空间总体规划管控要求的空间载体。在单元层面详细规划编制阶段，需分解落实上位总体规划明确的战略目标、底线管控、功能布局、空间结构、资源利用等方面要求，保障总体规划的精准落实。</w:t>
            </w:r>
          </w:p>
          <w:p>
            <w:pPr>
              <w:pStyle w:val="null3"/>
              <w:ind w:firstLine="480"/>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实现管控范围的全域覆盖，促进城乡融合。</w:t>
            </w:r>
          </w:p>
          <w:p>
            <w:pPr>
              <w:pStyle w:val="null3"/>
              <w:ind w:firstLine="480"/>
              <w:jc w:val="both"/>
            </w:pPr>
            <w:r>
              <w:rPr>
                <w:rFonts w:ascii="仿宋_GB2312" w:hAnsi="仿宋_GB2312" w:cs="仿宋_GB2312" w:eastAsia="仿宋_GB2312"/>
                <w:sz w:val="24"/>
                <w:color w:val="000000"/>
              </w:rPr>
              <w:t>国土空间规划体系下的详细规划，要求进行全域全要素的国土空间管控。通过单元层面详细规划的编制，可以保证国土空间管理的全覆盖、无冲突，不仅延续了传统控规对城镇空间的用途管制，还为农业空间、生态空间中的建设活动、资源开发、生态修复等各类开发保护活动提供法定依据，促进城乡融合与统筹。</w:t>
            </w:r>
          </w:p>
          <w:p>
            <w:pPr>
              <w:pStyle w:val="null3"/>
              <w:ind w:firstLine="480"/>
              <w:jc w:val="both"/>
            </w:pPr>
            <w:r>
              <w:rPr>
                <w:rFonts w:ascii="仿宋_GB2312" w:hAnsi="仿宋_GB2312" w:cs="仿宋_GB2312" w:eastAsia="仿宋_GB2312"/>
                <w:sz w:val="24"/>
                <w:color w:val="000000"/>
              </w:rPr>
              <w:t>4.3</w:t>
            </w:r>
            <w:r>
              <w:rPr>
                <w:rFonts w:ascii="仿宋_GB2312" w:hAnsi="仿宋_GB2312" w:cs="仿宋_GB2312" w:eastAsia="仿宋_GB2312"/>
                <w:sz w:val="24"/>
                <w:color w:val="000000"/>
              </w:rPr>
              <w:t>增加管控弹性，应对城市动态发展需求。</w:t>
            </w:r>
          </w:p>
          <w:p>
            <w:pPr>
              <w:pStyle w:val="null3"/>
              <w:ind w:firstLine="480"/>
              <w:jc w:val="both"/>
            </w:pPr>
            <w:r>
              <w:rPr>
                <w:rFonts w:ascii="仿宋_GB2312" w:hAnsi="仿宋_GB2312" w:cs="仿宋_GB2312" w:eastAsia="仿宋_GB2312"/>
                <w:sz w:val="24"/>
                <w:color w:val="000000"/>
              </w:rPr>
              <w:t>在详细规划单元层面充分发挥管控的弹性。单元层面仅对主导功能、开发强度、公共服务配套设施和公共绿地等要求进行刚性管控，充分提高规划实施的弹性、灵活性、适应性。</w:t>
            </w:r>
          </w:p>
          <w:p>
            <w:pPr>
              <w:pStyle w:val="null3"/>
              <w:jc w:val="both"/>
            </w:pPr>
            <w:r>
              <w:rPr>
                <w:rFonts w:ascii="仿宋_GB2312" w:hAnsi="仿宋_GB2312" w:cs="仿宋_GB2312" w:eastAsia="仿宋_GB2312"/>
                <w:sz w:val="24"/>
                <w:b/>
                <w:color w:val="000000"/>
                <w:shd w:fill="FFFFFF" w:val="clear"/>
              </w:rPr>
              <w:t>5、其他</w:t>
            </w:r>
          </w:p>
          <w:p>
            <w:pPr>
              <w:pStyle w:val="null3"/>
              <w:ind w:firstLine="480"/>
              <w:jc w:val="both"/>
            </w:pPr>
            <w:r>
              <w:rPr>
                <w:rFonts w:ascii="仿宋_GB2312" w:hAnsi="仿宋_GB2312" w:cs="仿宋_GB2312" w:eastAsia="仿宋_GB2312"/>
                <w:sz w:val="24"/>
                <w:color w:val="000000"/>
              </w:rPr>
              <w:t>供应商应根据上述因素结合其他方面因素自行考虑含入投标报价中，采购</w:t>
            </w:r>
            <w:r>
              <w:rPr>
                <w:rFonts w:ascii="仿宋_GB2312" w:hAnsi="仿宋_GB2312" w:cs="仿宋_GB2312" w:eastAsia="仿宋_GB2312"/>
                <w:sz w:val="24"/>
                <w:color w:val="000000"/>
              </w:rPr>
              <w:t>人不因供应商投标报价中的任何遗漏</w:t>
            </w:r>
            <w:r>
              <w:rPr>
                <w:rFonts w:ascii="仿宋_GB2312" w:hAnsi="仿宋_GB2312" w:cs="仿宋_GB2312" w:eastAsia="仿宋_GB2312"/>
                <w:sz w:val="24"/>
                <w:color w:val="000000"/>
              </w:rPr>
              <w:t>而予以增加或补偿费用，投标报价表中标明的价格，在合同执行过程中，不得以任何理由变更。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自签订合同之日起60日历日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合同签订后，在甲方收到乙方开具的增值税发票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方案初步汇报后，乙方向甲方开具增值税发票，甲方在收到发票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在规划成果通过专家评审后，甲方取得乙方开具的增值税发票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在乙方完后最终成果交付，甲方收到乙方开具的增值税发票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请成交供应商在领取成交通知书前将加盖鲜章的纸质版响应文件贰份（正本壹份、副本壹份）提交至中寰鼎信（陕西）项目管理有限公司招标部，以便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供应商应为中华人民共和国境内注册的独立法人企业或其他组织，具备合法有效的营业执照或事业单位法人证书等国家规定的相关证明。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时，须提供法定代表人授权委托书、被授权人身份证及授权代表在响应文件递交截止之日前在本单位近3个月内任意一个月的社保证明；法定代表人参加磋商时,须提供法人身份证明书及法定代表人身份证。</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提供磋商截止时间前六个月内任意一个月的依法缴纳税收的相关凭据（任意税种）。依法免税或无须缴纳税收的供应商，应提供相应证明文件。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磋商时间不足一年的可提供成立后任意时段的资产负债表）或磋商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供应商应具备行政主管部门颁发的城乡规划编制乙级（含）以上资质。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拟派项目负责人须具有城乡规划师注册职业资格，并具有该专业的中级及以上职称，且为本单位在职人员（提供近6个月内任意一个月的社保证明）。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能力证明承诺书</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 商务和服务响应偏离表.docx 中小企业声明函 残疾人福利性单位声明函 标的清单 资格审查资料.docx 报价表 供应商认为需要提供的其他内容.docx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商务和服务响应偏离表.docx 残疾人福利性单位声明函 中小企业声明函 标的清单 资格审查资料.docx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商务和服务响应偏离表.docx 中小企业声明函 残疾人福利性单位声明函 标的清单 报价表 资格审查资料.docx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商务和服务响应偏离表.docx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商务和服务响应偏离表.docx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商务和服务响应偏离表.docx 中小企业声明函 残疾人福利性单位声明函 标的清单 资格审查资料.docx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对本项目的理解做出阐述，内容至少包括：①规划背景；②规划意义及规划原则；③相关政策解读。 二、评审标准 上述3项评审内容中每有1项内容完整、符合项目要求、思路清晰、层次细化，得4分，最高得12分；每有一项评审内容存在缺陷，根据缺陷程度扣（0-4）分，扣完为止。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基础准备</w:t>
            </w:r>
          </w:p>
        </w:tc>
        <w:tc>
          <w:tcPr>
            <w:tcW w:type="dxa" w:w="2492"/>
          </w:tcPr>
          <w:p>
            <w:pPr>
              <w:pStyle w:val="null3"/>
            </w:pPr>
            <w:r>
              <w:rPr>
                <w:rFonts w:ascii="仿宋_GB2312" w:hAnsi="仿宋_GB2312" w:cs="仿宋_GB2312" w:eastAsia="仿宋_GB2312"/>
              </w:rPr>
              <w:t>一、评审内容 针本项目的工作做出前期准备方案，内容至少包括：①工作任务及目标；②基础工作准备；③现状基础认知；④未来发展趋势。 二、评审标准 上述4项评审内容中每有1项内容完整、符合项目要求、思路清晰、层次细化，得3分，最高得12分；每有一项评审内容存在缺陷，根据缺陷程度扣（0-3）分，扣完为止。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供应商针对本项目提供完整、详细的服务方案包括但不限于：①工作思路及编制依据；②重点难点分析③解决方案及应对措施；④技术方案。 二、评审标准 1、上述①②③项评审内容中每有1项内容完整、符合项目要求、思路清晰、层次细化，得2分，最高得6分；每缺少一项内容的扣2分；每有一项评审内容存在缺陷，根据缺陷程度扣（0-2）分，扣完为止。 2、上述第④项评审内容完整、符合项目要求、思路清晰、层次细化，得10分，评审内容存在缺陷情况的，根据缺陷程度扣（0-10）分，扣完为止。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进度保障措施内容包括但不限于：①工作进度计划；②工作进度控制措施；③工作进度保障承诺。 二、评审标准 1、方案须全面、完整，对评审内容中的各项要求有详细描述； 2、结合项目具体情况，责任明确、要求具体、可落实； 3、方案能够紧扣本项目实际情况，针对本项目内容编写。 上述3项评审内容全部满足评审标准得6分，评审内容缺项每项扣2分，每有一项评审内容存在缺陷，根据缺陷程度扣（0-2）分，扣完为止。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质量保证措施内容包括但不限于：①服务质量目标；②工作质量保障措施；③成果文件质量保障措施。 二、评审标准 1、措施须全面、完整，对评审内容中的各项要求有详细描述； 2、结合项目具体情况，责任明确、要求具体、可落实； 3、方案能够紧扣本项目实际情况，针对本项目内容编写。 上述3项评审内容全部满足评审标准得6分，评审内容缺项每项扣2分，每有一项评审内容存在缺陷，根据缺陷程度扣（0-2）分，扣完为止。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管理规章制度方案</w:t>
            </w:r>
          </w:p>
        </w:tc>
        <w:tc>
          <w:tcPr>
            <w:tcW w:type="dxa" w:w="2492"/>
          </w:tcPr>
          <w:p>
            <w:pPr>
              <w:pStyle w:val="null3"/>
            </w:pPr>
            <w:r>
              <w:rPr>
                <w:rFonts w:ascii="仿宋_GB2312" w:hAnsi="仿宋_GB2312" w:cs="仿宋_GB2312" w:eastAsia="仿宋_GB2312"/>
              </w:rPr>
              <w:t>一、评审内容 供应商针对本项目具有健全的部门设置和管理制度内容包括但不限于：①明确各部门岗位职责；②人事管理制度；③财务管理制度；④业务管理制度；⑤业务档案管理制度。 三、评审标准 1、制度全面、完整，对评审内容中的各项要求有详细描述； 2、结合项目具体情况，责任明确、要求具体、可落实；3、方案能够紧扣本项目实际情况，针对本项目内容编写。 上述5项评审内容全部满足评审标准得5分，评审内容缺项每项扣1分，每有一项评审内容存在缺陷，根据缺陷程度扣（0-1）分，扣完为止。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针对本项目的保密方案，内容包括但不限于：①保密管理方案②保密制度体系③保密措施④保密承诺。 三、评审标准 1、制度全面、完整，对评审内容中的各项要求有详细描述； 2、结合项目具体情况，责任明确、要求具体、可落实； 3、方案能够紧扣本项目实际情况，针对本项目内容编写。 上述4项评审内容全部满足评审标准得4分，评审内容缺项每项扣1分，每有一项评审内容存在缺陷，根据缺陷程度扣（0-1）分，扣完为止。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建议清晰、合理、完整、细节考虑到位且切实可行，得3分；建议简单、可行性存在一定瑕疵，得2分；建议存在严重缺漏，不具备合理性，得 1 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针对本项目实际情况，提供应急预案。方案清晰、合理、完整、细节考虑到位且切实可行，得3分；方案简单、可行性存在一定瑕疵，得2分；方案存在严重缺漏，不具备合理性，得 1 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1、项目负责人具有相关专业高级职称的得4分。 2、项目组其他人员具有国家注册城乡规划师称证书的，一人得2分；项目组其他人员具有相关专业高级职称的，一人得2分；项目组其他人员具有相关专业中级职称的，一人得1分；（本项最高得6分）。 注：1.以上提及的相关专业职称为城市（城乡）规划或市政工程等相关专业职称；2.人员不重复计分，以上所有人员须提供近六个月内至少一个月在本单位缴纳的社保证明。（未提供不得分）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根据本项目基本情况，制定相应的售后服务方案，方案包括但不限于：①后续服务内容；②售后服务保障措施；③售后服务承诺。 二、评审标准 1、方案全面、完整，对评审内容中的各项要求有详细描述； 2、结合项目具体情况，责任明确、要求具体、可落实； 3、方案能够紧扣本项目实际情况，针对本项目内容编写。 上述3项评审内容全部满足评审标准得3分，评审内容缺项每项扣1分，每有一项评审内容存在缺陷，根据缺陷程度扣（0-1）分，扣完为止。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供应商提供2021年3月至今已完成的类似项目业绩一份得2 分，最高得10 分。未提供不得分（以提供的中标通知书或合同协议书为准）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详见附件：商务和服务响应偏离表.docx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