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5BBF4">
      <w:pPr>
        <w:pStyle w:val="3"/>
        <w:jc w:val="center"/>
        <w:rPr>
          <w:rFonts w:hint="eastAsia" w:ascii="宋体" w:hAnsi="宋体" w:eastAsia="宋体" w:cs="宋体"/>
          <w:sz w:val="40"/>
          <w:szCs w:val="40"/>
        </w:rPr>
      </w:pPr>
      <w:r>
        <w:rPr>
          <w:rFonts w:hint="eastAsia" w:ascii="宋体" w:hAnsi="宋体" w:eastAsia="宋体" w:cs="宋体"/>
          <w:sz w:val="40"/>
          <w:szCs w:val="40"/>
        </w:rPr>
        <w:t>项目名称</w:t>
      </w:r>
    </w:p>
    <w:p w14:paraId="076B6387">
      <w:pPr>
        <w:pStyle w:val="3"/>
        <w:ind w:firstLine="3213" w:firstLineChars="1000"/>
        <w:jc w:val="both"/>
        <w:rPr>
          <w:rFonts w:hint="eastAsia" w:ascii="宋体" w:hAnsi="宋体" w:eastAsia="宋体" w:cs="宋体"/>
        </w:rPr>
      </w:pPr>
    </w:p>
    <w:p w14:paraId="53C43A9D">
      <w:pPr>
        <w:pStyle w:val="3"/>
        <w:ind w:firstLine="3213" w:firstLineChars="1000"/>
        <w:jc w:val="both"/>
        <w:rPr>
          <w:rFonts w:hint="eastAsia" w:ascii="宋体" w:hAnsi="宋体" w:eastAsia="宋体" w:cs="宋体"/>
        </w:rPr>
      </w:pPr>
    </w:p>
    <w:p w14:paraId="49DBD247">
      <w:pPr>
        <w:pStyle w:val="3"/>
        <w:ind w:firstLine="2400" w:firstLineChars="10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14:ligatures w14:val="standardContextual"/>
        </w:rPr>
      </w:pPr>
    </w:p>
    <w:p w14:paraId="63452E0A">
      <w:pPr>
        <w:pStyle w:val="3"/>
        <w:adjustRightInd w:val="0"/>
        <w:snapToGrid w:val="0"/>
        <w:spacing w:line="240" w:lineRule="auto"/>
        <w:ind w:firstLine="2249" w:firstLineChars="800"/>
        <w:jc w:val="both"/>
        <w:rPr>
          <w:rFonts w:hint="eastAsia" w:ascii="宋体" w:hAnsi="宋体" w:eastAsia="宋体" w:cs="宋体"/>
          <w:sz w:val="28"/>
          <w:szCs w:val="28"/>
          <w14:ligatures w14:val="standardContextual"/>
        </w:rPr>
      </w:pPr>
      <w:r>
        <w:rPr>
          <w:rFonts w:hint="eastAsia" w:ascii="宋体" w:hAnsi="宋体" w:eastAsia="宋体" w:cs="宋体"/>
          <w:sz w:val="28"/>
          <w:szCs w:val="28"/>
          <w14:ligatures w14:val="standardContextual"/>
        </w:rPr>
        <w:t xml:space="preserve">合同编号： </w:t>
      </w:r>
    </w:p>
    <w:p w14:paraId="010B7367">
      <w:pPr>
        <w:ind w:firstLine="1897" w:firstLineChars="900"/>
        <w:rPr>
          <w:rFonts w:hint="eastAsia" w:ascii="宋体" w:hAnsi="宋体" w:eastAsia="宋体" w:cs="宋体"/>
          <w:b/>
          <w:bCs/>
        </w:rPr>
      </w:pPr>
    </w:p>
    <w:p w14:paraId="19C9D623">
      <w:pPr>
        <w:spacing w:line="480" w:lineRule="auto"/>
        <w:ind w:firstLine="1928" w:firstLineChars="800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4BC61A9">
      <w:pPr>
        <w:spacing w:line="480" w:lineRule="auto"/>
        <w:ind w:firstLine="2249" w:firstLineChars="8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甲方: </w:t>
      </w:r>
    </w:p>
    <w:p w14:paraId="1A78532B">
      <w:pPr>
        <w:spacing w:line="480" w:lineRule="auto"/>
        <w:ind w:firstLine="2249" w:firstLineChars="8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乙方: </w:t>
      </w:r>
    </w:p>
    <w:p w14:paraId="0B690D68">
      <w:pPr>
        <w:spacing w:line="480" w:lineRule="auto"/>
        <w:ind w:firstLine="2249" w:firstLineChars="8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日期：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年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月  日</w:t>
      </w:r>
    </w:p>
    <w:p w14:paraId="49B7B90B">
      <w:pPr>
        <w:spacing w:line="480" w:lineRule="auto"/>
        <w:rPr>
          <w:rFonts w:hint="eastAsia" w:ascii="宋体" w:hAnsi="宋体" w:eastAsia="宋体" w:cs="宋体"/>
        </w:rPr>
      </w:pPr>
    </w:p>
    <w:p w14:paraId="215150BA">
      <w:pPr>
        <w:rPr>
          <w:rFonts w:hint="eastAsia" w:ascii="宋体" w:hAnsi="宋体" w:eastAsia="宋体" w:cs="宋体"/>
        </w:rPr>
      </w:pPr>
    </w:p>
    <w:p w14:paraId="6C97E2D2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2384425</wp:posOffset>
                </wp:positionH>
                <wp:positionV relativeFrom="paragraph">
                  <wp:posOffset>323215</wp:posOffset>
                </wp:positionV>
                <wp:extent cx="415925" cy="281940"/>
                <wp:effectExtent l="0" t="0" r="22225" b="23495"/>
                <wp:wrapNone/>
                <wp:docPr id="1094884346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030" cy="28168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o:spt="1" style="position:absolute;left:0pt;margin-left:187.75pt;margin-top:25.45pt;height:22.2pt;width:32.75pt;z-index:251659264;v-text-anchor:middle;mso-width-relative:page;mso-height-relative:page;" fillcolor="#FFFFFF [3212]" filled="t" stroked="t" coordsize="21600,21600" o:gfxdata="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rX6+rYAAAACQEAAA8AAAAAAAAAAQAgAAAAIgAAAGRycy9kb3du&#10;cmV2LnhtbFBLAQIUABQAAAAIAIdO4kDCQUDqcQIAAPwEAAAOAAAAAAAAAAEAIAAAACcBAABkcnMv&#10;ZTJvRG9jLnhtbFBLBQYAAAAABgAGAFkBAAAKBgAAAAA=&#10;">
                <v:fill on="t" focussize="0,0"/>
                <v:stroke weight="1pt" color="#FFFFFF [3212]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619DA188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0"/>
          <w:cols w:space="425" w:num="1"/>
          <w:docGrid w:type="lines" w:linePitch="312" w:charSpace="0"/>
        </w:sectPr>
      </w:pPr>
    </w:p>
    <w:p w14:paraId="1A022A01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服 务 合 同</w:t>
      </w:r>
    </w:p>
    <w:p w14:paraId="36EC7696">
      <w:pPr>
        <w:spacing w:line="360" w:lineRule="auto"/>
        <w:jc w:val="center"/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（合同模版 仅供参考）</w:t>
      </w:r>
    </w:p>
    <w:p w14:paraId="22D4DB09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u w:val="single"/>
        </w:rPr>
      </w:pPr>
    </w:p>
    <w:p w14:paraId="11056838">
      <w:pPr>
        <w:spacing w:line="48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（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以下称甲方）</w:t>
      </w:r>
    </w:p>
    <w:p w14:paraId="078DFE39">
      <w:pPr>
        <w:spacing w:line="48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（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以下称乙方）</w:t>
      </w:r>
    </w:p>
    <w:p w14:paraId="6D5E7A4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5C8661D1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根据《中华人民共和国政府采购法》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、《中华人民共和国民法典》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等相关法律，遵循诚实、诚信、公平和自愿原则，甲、乙双方就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渭南市华州区组团详细规划（控制性）单元划定及单元详细规划编制项目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签订本合同：</w:t>
      </w:r>
    </w:p>
    <w:p w14:paraId="2A636F5C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outlineLvl w:val="1"/>
        <w:rPr>
          <w:rFonts w:hint="eastAsia" w:ascii="宋体" w:hAnsi="宋体" w:eastAsia="宋体" w:cs="宋体"/>
          <w:b/>
          <w:color w:val="auto"/>
          <w:szCs w:val="24"/>
        </w:rPr>
      </w:pPr>
      <w:bookmarkStart w:id="0" w:name="_Toc7170"/>
      <w:r>
        <w:rPr>
          <w:rFonts w:hint="eastAsia" w:ascii="宋体" w:hAnsi="宋体" w:eastAsia="宋体" w:cs="宋体"/>
          <w:b/>
          <w:color w:val="auto"/>
          <w:szCs w:val="24"/>
        </w:rPr>
        <w:t>1、项目概况</w:t>
      </w:r>
      <w:bookmarkEnd w:id="0"/>
    </w:p>
    <w:p w14:paraId="43B3ED7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1.1服务项目名称：</w:t>
      </w:r>
    </w:p>
    <w:p w14:paraId="68AAE92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1.2服务项目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内容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 w14:paraId="7FBEF945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outlineLvl w:val="1"/>
        <w:rPr>
          <w:rFonts w:hint="eastAsia" w:ascii="宋体" w:hAnsi="宋体" w:eastAsia="宋体" w:cs="宋体"/>
          <w:szCs w:val="24"/>
        </w:rPr>
      </w:pPr>
      <w:bookmarkStart w:id="1" w:name="_Toc20675"/>
      <w:r>
        <w:rPr>
          <w:rFonts w:hint="eastAsia" w:ascii="宋体" w:hAnsi="宋体" w:eastAsia="宋体" w:cs="宋体"/>
          <w:b/>
          <w:color w:val="auto"/>
          <w:szCs w:val="24"/>
        </w:rPr>
        <w:t>2、标准和依据</w:t>
      </w:r>
      <w:bookmarkEnd w:id="1"/>
    </w:p>
    <w:p w14:paraId="5C6DBB2F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outlineLvl w:val="1"/>
        <w:rPr>
          <w:rFonts w:hint="eastAsia" w:ascii="宋体" w:hAnsi="宋体" w:eastAsia="宋体" w:cs="宋体"/>
          <w:bCs/>
          <w:color w:val="auto"/>
          <w:szCs w:val="24"/>
          <w:lang w:eastAsia="zh-Hans"/>
        </w:rPr>
      </w:pPr>
      <w:bookmarkStart w:id="2" w:name="_Toc7349"/>
      <w:r>
        <w:rPr>
          <w:rFonts w:hint="eastAsia" w:ascii="宋体" w:hAnsi="宋体" w:eastAsia="宋体" w:cs="宋体"/>
          <w:bCs/>
          <w:color w:val="auto"/>
          <w:szCs w:val="24"/>
          <w:lang w:eastAsia="zh-Hans"/>
        </w:rPr>
        <w:t>依据相关规范以及法律法规。</w:t>
      </w:r>
      <w:bookmarkEnd w:id="2"/>
      <w:bookmarkStart w:id="12" w:name="_GoBack"/>
      <w:bookmarkEnd w:id="12"/>
    </w:p>
    <w:p w14:paraId="78B2E24C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outlineLvl w:val="1"/>
        <w:rPr>
          <w:rFonts w:hint="eastAsia" w:ascii="宋体" w:hAnsi="宋体" w:eastAsia="宋体" w:cs="宋体"/>
          <w:b/>
          <w:color w:val="auto"/>
          <w:szCs w:val="24"/>
          <w:lang w:eastAsia="zh-Hans"/>
        </w:rPr>
      </w:pPr>
      <w:bookmarkStart w:id="3" w:name="_Toc11049"/>
      <w:r>
        <w:rPr>
          <w:rFonts w:hint="eastAsia" w:ascii="宋体" w:hAnsi="宋体" w:eastAsia="宋体" w:cs="宋体"/>
          <w:b/>
          <w:color w:val="auto"/>
          <w:szCs w:val="24"/>
        </w:rPr>
        <w:t>3、</w:t>
      </w:r>
      <w:r>
        <w:rPr>
          <w:rFonts w:hint="eastAsia" w:ascii="宋体" w:hAnsi="宋体" w:eastAsia="宋体" w:cs="宋体"/>
          <w:b/>
          <w:color w:val="auto"/>
          <w:szCs w:val="24"/>
          <w:lang w:eastAsia="zh-Hans"/>
        </w:rPr>
        <w:t>项目要求</w:t>
      </w:r>
      <w:bookmarkEnd w:id="3"/>
    </w:p>
    <w:p w14:paraId="01A070DA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outlineLvl w:val="1"/>
        <w:rPr>
          <w:rFonts w:hint="default" w:ascii="宋体" w:hAnsi="宋体" w:eastAsia="宋体" w:cs="宋体"/>
          <w:bCs/>
          <w:color w:val="auto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Cs w:val="24"/>
          <w:lang w:eastAsia="zh-Hans"/>
        </w:rPr>
        <w:t>对渭南市华州片区(含华州城区组团、华州西区组团)11个城镇单元层面详细规划文本、规划说明、图纸、单元普适图则、数据库等内容</w:t>
      </w:r>
      <w:r>
        <w:rPr>
          <w:rFonts w:hint="eastAsia" w:cs="宋体"/>
          <w:bCs/>
          <w:color w:val="auto"/>
          <w:szCs w:val="24"/>
          <w:lang w:eastAsia="zh-CN"/>
        </w:rPr>
        <w:t>，</w:t>
      </w:r>
      <w:r>
        <w:rPr>
          <w:rFonts w:hint="eastAsia" w:ascii="宋体" w:hAnsi="宋体" w:eastAsia="宋体" w:cs="宋体"/>
          <w:bCs/>
          <w:color w:val="auto"/>
          <w:szCs w:val="24"/>
          <w:lang w:eastAsia="zh-Hans"/>
        </w:rPr>
        <w:t>需编制完成《渭南市华州区城区组团详细规划（控制性）单元划定及单元详细规划》</w:t>
      </w:r>
      <w:r>
        <w:rPr>
          <w:rFonts w:hint="eastAsia" w:cs="宋体"/>
          <w:bCs/>
          <w:color w:val="auto"/>
          <w:szCs w:val="24"/>
          <w:lang w:val="en-US" w:eastAsia="zh-CN"/>
        </w:rPr>
        <w:t>并提交成果文件</w:t>
      </w:r>
      <w:r>
        <w:rPr>
          <w:rFonts w:hint="eastAsia" w:ascii="宋体" w:hAnsi="宋体" w:eastAsia="宋体" w:cs="宋体"/>
          <w:bCs/>
          <w:color w:val="auto"/>
          <w:szCs w:val="24"/>
          <w:lang w:eastAsia="zh-Hans"/>
        </w:rPr>
        <w:t>。</w:t>
      </w:r>
      <w:r>
        <w:rPr>
          <w:rFonts w:hint="eastAsia" w:cs="宋体"/>
          <w:bCs/>
          <w:color w:val="auto"/>
          <w:szCs w:val="24"/>
          <w:lang w:eastAsia="zh-CN"/>
        </w:rPr>
        <w:t>（</w:t>
      </w:r>
      <w:r>
        <w:rPr>
          <w:rFonts w:hint="eastAsia" w:cs="宋体"/>
          <w:bCs/>
          <w:color w:val="auto"/>
          <w:szCs w:val="24"/>
          <w:lang w:val="en-US" w:eastAsia="zh-CN"/>
        </w:rPr>
        <w:t>详见招标文件要求）</w:t>
      </w:r>
    </w:p>
    <w:p w14:paraId="055E2626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outlineLvl w:val="1"/>
        <w:rPr>
          <w:rFonts w:hint="eastAsia" w:ascii="宋体" w:hAnsi="宋体" w:eastAsia="宋体" w:cs="宋体"/>
          <w:b/>
          <w:color w:val="auto"/>
          <w:szCs w:val="24"/>
        </w:rPr>
      </w:pPr>
      <w:r>
        <w:rPr>
          <w:rFonts w:hint="eastAsia" w:ascii="宋体" w:hAnsi="宋体" w:eastAsia="宋体" w:cs="宋体"/>
          <w:b/>
          <w:color w:val="auto"/>
          <w:szCs w:val="24"/>
        </w:rPr>
        <w:t>4、服务期限</w:t>
      </w:r>
    </w:p>
    <w:p w14:paraId="4576F5AE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outlineLvl w:val="1"/>
        <w:rPr>
          <w:rFonts w:hint="eastAsia" w:ascii="宋体" w:hAnsi="宋体" w:eastAsia="宋体" w:cs="宋体"/>
          <w:b/>
          <w:color w:val="auto"/>
          <w:szCs w:val="24"/>
        </w:rPr>
      </w:pPr>
      <w:r>
        <w:rPr>
          <w:rFonts w:hint="eastAsia" w:ascii="宋体" w:hAnsi="宋体" w:eastAsia="宋体" w:cs="宋体"/>
          <w:b/>
          <w:color w:val="auto"/>
          <w:szCs w:val="24"/>
        </w:rPr>
        <w:t xml:space="preserve">   </w:t>
      </w:r>
      <w:r>
        <w:rPr>
          <w:rFonts w:hint="eastAsia" w:ascii="宋体" w:hAnsi="宋体" w:eastAsia="宋体" w:cs="宋体"/>
          <w:color w:val="auto"/>
          <w:szCs w:val="24"/>
        </w:rPr>
        <w:t>合同签订后</w:t>
      </w:r>
      <w:r>
        <w:rPr>
          <w:rFonts w:hint="eastAsia" w:ascii="宋体" w:hAnsi="宋体" w:eastAsia="宋体" w:cs="宋体"/>
          <w:color w:val="auto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Cs w:val="24"/>
        </w:rPr>
        <w:t>日历日。</w:t>
      </w:r>
    </w:p>
    <w:p w14:paraId="03161CC3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outlineLvl w:val="1"/>
        <w:rPr>
          <w:rFonts w:hint="eastAsia" w:ascii="宋体" w:hAnsi="宋体" w:eastAsia="宋体" w:cs="宋体"/>
          <w:b/>
          <w:color w:val="auto"/>
          <w:szCs w:val="24"/>
        </w:rPr>
      </w:pPr>
      <w:bookmarkStart w:id="4" w:name="_Toc2732"/>
      <w:r>
        <w:rPr>
          <w:rFonts w:hint="eastAsia" w:ascii="宋体" w:hAnsi="宋体" w:eastAsia="宋体" w:cs="宋体"/>
          <w:b/>
          <w:color w:val="auto"/>
          <w:szCs w:val="24"/>
        </w:rPr>
        <w:t>5、甲方权利和义务</w:t>
      </w:r>
      <w:bookmarkEnd w:id="4"/>
    </w:p>
    <w:p w14:paraId="5504DCDD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5.1甲方应做好乙方现场的配合工作，为项目开展提供方便条件；</w:t>
      </w:r>
    </w:p>
    <w:p w14:paraId="3699F03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5.2甲方有权在领取成果后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日内，对乙方出具的规划成果提出异议乙方应及时给予答复。</w:t>
      </w:r>
    </w:p>
    <w:p w14:paraId="4AA20863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outlineLvl w:val="1"/>
        <w:rPr>
          <w:rFonts w:hint="eastAsia" w:ascii="宋体" w:hAnsi="宋体" w:eastAsia="宋体" w:cs="宋体"/>
          <w:color w:val="auto"/>
          <w:kern w:val="2"/>
          <w:szCs w:val="24"/>
        </w:rPr>
      </w:pPr>
      <w:bookmarkStart w:id="5" w:name="_Toc25435"/>
      <w:r>
        <w:rPr>
          <w:rFonts w:hint="eastAsia" w:ascii="宋体" w:hAnsi="宋体" w:eastAsia="宋体" w:cs="宋体"/>
          <w:b/>
          <w:color w:val="auto"/>
          <w:szCs w:val="24"/>
        </w:rPr>
        <w:t>6、乙方权利和义务</w:t>
      </w:r>
      <w:bookmarkEnd w:id="5"/>
    </w:p>
    <w:p w14:paraId="4528889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6.1乙方应执行国家现行标准。规范的规定:出具的规划成果应符合国家现行有关部门标准、规范的规定，并承担相应的法律责任:</w:t>
      </w:r>
    </w:p>
    <w:p w14:paraId="3F0D05C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6.2对甲方提供的项目技术资料承担保管、保密责任:</w:t>
      </w:r>
    </w:p>
    <w:p w14:paraId="71A2DBC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6.3接受委托后，有下列情况之一的，乙方有权终止合同的履行: (1) 发现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监测</w:t>
      </w:r>
      <w:r>
        <w:rPr>
          <w:rFonts w:hint="eastAsia" w:ascii="宋体" w:hAnsi="宋体" w:eastAsia="宋体" w:cs="宋体"/>
          <w:sz w:val="24"/>
          <w:szCs w:val="24"/>
        </w:rPr>
        <w:t>所需的技术要求超出本身技术条件和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监测</w:t>
      </w:r>
      <w:r>
        <w:rPr>
          <w:rFonts w:hint="eastAsia" w:ascii="宋体" w:hAnsi="宋体" w:eastAsia="宋体" w:cs="宋体"/>
          <w:sz w:val="24"/>
          <w:szCs w:val="24"/>
        </w:rPr>
        <w:t xml:space="preserve">能力的，(2) 因不可抗力致使无法继续进行的。 </w:t>
      </w:r>
    </w:p>
    <w:p w14:paraId="0FD78977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outlineLvl w:val="1"/>
        <w:rPr>
          <w:rFonts w:hint="eastAsia" w:ascii="宋体" w:hAnsi="宋体" w:eastAsia="宋体" w:cs="宋体"/>
          <w:b/>
          <w:color w:val="auto"/>
          <w:szCs w:val="24"/>
        </w:rPr>
      </w:pPr>
      <w:bookmarkStart w:id="6" w:name="_Toc29268"/>
      <w:r>
        <w:rPr>
          <w:rFonts w:hint="eastAsia" w:ascii="宋体" w:hAnsi="宋体" w:eastAsia="宋体" w:cs="宋体"/>
          <w:b/>
          <w:color w:val="auto"/>
          <w:szCs w:val="24"/>
        </w:rPr>
        <w:t>7、</w:t>
      </w:r>
      <w:bookmarkEnd w:id="6"/>
      <w:r>
        <w:rPr>
          <w:rFonts w:hint="eastAsia" w:ascii="宋体" w:hAnsi="宋体" w:eastAsia="宋体" w:cs="宋体"/>
          <w:b/>
          <w:color w:val="auto"/>
          <w:szCs w:val="24"/>
          <w:lang w:eastAsia="zh-Hans"/>
        </w:rPr>
        <w:t>规划成果形式</w:t>
      </w:r>
    </w:p>
    <w:p w14:paraId="5AC1580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7.1乙方在完成所有工作后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个工作日内向甲方提供一式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份规划成果。</w:t>
      </w:r>
    </w:p>
    <w:p w14:paraId="465B989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7.2规划成果发送方式：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42F945E6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outlineLvl w:val="1"/>
        <w:rPr>
          <w:rFonts w:hint="eastAsia" w:ascii="宋体" w:hAnsi="宋体" w:eastAsia="宋体" w:cs="宋体"/>
          <w:b/>
          <w:color w:val="auto"/>
          <w:szCs w:val="24"/>
        </w:rPr>
      </w:pPr>
      <w:bookmarkStart w:id="7" w:name="_Toc18059"/>
      <w:r>
        <w:rPr>
          <w:rFonts w:hint="eastAsia" w:ascii="宋体" w:hAnsi="宋体" w:eastAsia="宋体" w:cs="宋体"/>
          <w:b/>
          <w:color w:val="auto"/>
          <w:szCs w:val="24"/>
        </w:rPr>
        <w:t>8、违约</w:t>
      </w:r>
      <w:r>
        <w:rPr>
          <w:rFonts w:hint="eastAsia" w:ascii="宋体" w:hAnsi="宋体" w:eastAsia="宋体" w:cs="宋体"/>
          <w:b/>
          <w:color w:val="auto"/>
          <w:kern w:val="2"/>
          <w:szCs w:val="24"/>
        </w:rPr>
        <w:t>责任</w:t>
      </w:r>
      <w:bookmarkEnd w:id="7"/>
    </w:p>
    <w:p w14:paraId="6FFB641D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任何一方违反国家《中华人民共和国民法典》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sz w:val="24"/>
          <w:szCs w:val="24"/>
        </w:rPr>
        <w:t>相关规定，违约方需承担法律责任。</w:t>
      </w:r>
    </w:p>
    <w:p w14:paraId="1A3CAB64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outlineLvl w:val="1"/>
        <w:rPr>
          <w:rFonts w:hint="eastAsia" w:ascii="宋体" w:hAnsi="宋体" w:eastAsia="宋体" w:cs="宋体"/>
          <w:b/>
          <w:color w:val="auto"/>
          <w:szCs w:val="24"/>
        </w:rPr>
      </w:pPr>
      <w:bookmarkStart w:id="8" w:name="_Toc8692"/>
      <w:r>
        <w:rPr>
          <w:rFonts w:hint="eastAsia" w:ascii="宋体" w:hAnsi="宋体" w:eastAsia="宋体" w:cs="宋体"/>
          <w:b/>
          <w:color w:val="auto"/>
          <w:szCs w:val="24"/>
        </w:rPr>
        <w:t>9、费用标准</w:t>
      </w:r>
      <w:bookmarkEnd w:id="8"/>
    </w:p>
    <w:p w14:paraId="2487E2B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中标价：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</w:t>
      </w:r>
    </w:p>
    <w:p w14:paraId="0C12241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最终结算根据标准以实际计算。</w:t>
      </w:r>
    </w:p>
    <w:p w14:paraId="2F000989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outlineLvl w:val="1"/>
        <w:rPr>
          <w:rFonts w:hint="eastAsia" w:ascii="宋体" w:hAnsi="宋体" w:eastAsia="宋体" w:cs="宋体"/>
          <w:b/>
          <w:color w:val="auto"/>
          <w:szCs w:val="24"/>
        </w:rPr>
      </w:pPr>
      <w:bookmarkStart w:id="9" w:name="_Toc13626"/>
      <w:r>
        <w:rPr>
          <w:rFonts w:hint="eastAsia" w:ascii="宋体" w:hAnsi="宋体" w:eastAsia="宋体" w:cs="宋体"/>
          <w:b/>
          <w:color w:val="auto"/>
          <w:szCs w:val="24"/>
        </w:rPr>
        <w:t>10、支付方式</w:t>
      </w:r>
      <w:bookmarkEnd w:id="9"/>
    </w:p>
    <w:p w14:paraId="164A82C8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auto"/>
        <w:outlineLvl w:val="1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  <w14:ligatures w14:val="standardContextual"/>
        </w:rPr>
      </w:pPr>
      <w:bookmarkStart w:id="10" w:name="_Toc16854"/>
      <w:r>
        <w:rPr>
          <w:rFonts w:hint="eastAsia" w:cs="宋体"/>
          <w:color w:val="auto"/>
          <w:kern w:val="2"/>
          <w:sz w:val="24"/>
          <w:szCs w:val="24"/>
          <w:lang w:val="en-US" w:eastAsia="zh-CN" w:bidi="ar-SA"/>
          <w14:ligatures w14:val="standardContextual"/>
        </w:rPr>
        <w:t>10.1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  <w14:ligatures w14:val="standardContextual"/>
        </w:rPr>
        <w:t>付款条件说明：合同签订后，在甲方收到乙方开具的增值税发票，达到付款条件起10日内，支付合同总金额的 30.00%。</w:t>
      </w:r>
    </w:p>
    <w:p w14:paraId="3BCC51C3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auto"/>
        <w:outlineLvl w:val="1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  <w14:ligatures w14:val="standardContextual"/>
        </w:rPr>
      </w:pPr>
      <w:r>
        <w:rPr>
          <w:rFonts w:hint="eastAsia" w:cs="宋体"/>
          <w:color w:val="auto"/>
          <w:kern w:val="2"/>
          <w:sz w:val="24"/>
          <w:szCs w:val="24"/>
          <w:lang w:val="en-US" w:eastAsia="zh-CN" w:bidi="ar-SA"/>
          <w14:ligatures w14:val="standardContextual"/>
        </w:rPr>
        <w:t>10.2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  <w14:ligatures w14:val="standardContextual"/>
        </w:rPr>
        <w:t xml:space="preserve"> 付款条件说明：方案初步汇报后，乙方向甲方开具增值税发票，甲方在收到发票，达到付款条件起10日内，支付合同总金额的 30.00%。</w:t>
      </w:r>
    </w:p>
    <w:p w14:paraId="6A335FB1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auto"/>
        <w:outlineLvl w:val="1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  <w14:ligatures w14:val="standardContextual"/>
        </w:rPr>
      </w:pPr>
      <w:r>
        <w:rPr>
          <w:rFonts w:hint="eastAsia" w:cs="宋体"/>
          <w:color w:val="auto"/>
          <w:kern w:val="2"/>
          <w:sz w:val="24"/>
          <w:szCs w:val="24"/>
          <w:lang w:val="en-US" w:eastAsia="zh-CN" w:bidi="ar-SA"/>
          <w14:ligatures w14:val="standardContextual"/>
        </w:rPr>
        <w:t>10.3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  <w14:ligatures w14:val="standardContextual"/>
        </w:rPr>
        <w:t xml:space="preserve"> 付款条件说明：在规划成果通过专家评审后，甲方取得乙方开具的增值税发票，达到付款条件起10日内，支付合同总金额的 30.00%。</w:t>
      </w:r>
    </w:p>
    <w:p w14:paraId="6A42D050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auto"/>
        <w:outlineLvl w:val="1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  <w14:ligatures w14:val="standardContextual"/>
        </w:rPr>
      </w:pPr>
      <w:r>
        <w:rPr>
          <w:rFonts w:hint="eastAsia" w:cs="宋体"/>
          <w:color w:val="auto"/>
          <w:kern w:val="2"/>
          <w:sz w:val="24"/>
          <w:szCs w:val="24"/>
          <w:lang w:val="en-US" w:eastAsia="zh-CN" w:bidi="ar-SA"/>
          <w14:ligatures w14:val="standardContextual"/>
        </w:rPr>
        <w:t>10.4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  <w14:ligatures w14:val="standardContextual"/>
        </w:rPr>
        <w:t xml:space="preserve"> 付款条件说明：在乙方完后最终成果交付，甲方收到乙方开具的增值税发票，达到付款条件起10日内，支付合同总金额的 10.00%。</w:t>
      </w:r>
    </w:p>
    <w:p w14:paraId="252F63DB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outlineLvl w:val="1"/>
        <w:rPr>
          <w:rFonts w:hint="eastAsia" w:ascii="宋体" w:hAnsi="宋体" w:eastAsia="宋体" w:cs="宋体"/>
          <w:b/>
          <w:color w:val="auto"/>
          <w:szCs w:val="24"/>
        </w:rPr>
      </w:pPr>
      <w:r>
        <w:rPr>
          <w:rFonts w:hint="eastAsia" w:ascii="宋体" w:hAnsi="宋体" w:eastAsia="宋体" w:cs="宋体"/>
          <w:b/>
          <w:color w:val="auto"/>
          <w:szCs w:val="24"/>
        </w:rPr>
        <w:t>11、合同文本</w:t>
      </w:r>
      <w:bookmarkEnd w:id="10"/>
    </w:p>
    <w:p w14:paraId="2616813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本合同经双方签字盖章后生效。合同约定的项目结束及费用结清，甲方取得规划成果后本合同失效。</w:t>
      </w:r>
    </w:p>
    <w:p w14:paraId="48678E05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outlineLvl w:val="1"/>
        <w:rPr>
          <w:rFonts w:hint="eastAsia" w:ascii="宋体" w:hAnsi="宋体" w:eastAsia="宋体" w:cs="宋体"/>
          <w:b/>
          <w:color w:val="auto"/>
          <w:szCs w:val="24"/>
        </w:rPr>
      </w:pPr>
      <w:bookmarkStart w:id="11" w:name="_Toc25579"/>
      <w:r>
        <w:rPr>
          <w:rFonts w:hint="eastAsia" w:ascii="宋体" w:hAnsi="宋体" w:eastAsia="宋体" w:cs="宋体"/>
          <w:b/>
          <w:color w:val="auto"/>
          <w:szCs w:val="24"/>
        </w:rPr>
        <w:t>12、争议解决</w:t>
      </w:r>
      <w:bookmarkEnd w:id="11"/>
    </w:p>
    <w:p w14:paraId="47C01F6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因履行本协议产生争议的，双方应友好协商，协商解决不成的，双方选择提交甲方所在地法院诉讼解决。</w:t>
      </w:r>
    </w:p>
    <w:p w14:paraId="30814DC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本合同经双方签字盖章后生效，一式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份，双方各执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3  </w:t>
      </w:r>
      <w:r>
        <w:rPr>
          <w:rFonts w:hint="eastAsia" w:ascii="宋体" w:hAnsi="宋体" w:eastAsia="宋体" w:cs="宋体"/>
          <w:sz w:val="24"/>
          <w:szCs w:val="24"/>
        </w:rPr>
        <w:t>份，监管部门备案壹份，采购代理机构存档壹份，具有同等法律效力。本合同中未尽事宜双方另行协商解决。</w:t>
      </w:r>
    </w:p>
    <w:p w14:paraId="6B913D81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（以下无正文）</w:t>
      </w:r>
    </w:p>
    <w:p w14:paraId="3DF16DE2">
      <w:pPr>
        <w:adjustRightInd w:val="0"/>
        <w:snapToGrid w:val="0"/>
        <w:spacing w:before="312" w:beforeLines="100" w:line="360" w:lineRule="auto"/>
        <w:ind w:left="5696" w:leftChars="198" w:hanging="5280" w:hangingChars="2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甲方：（盖章）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乙方： （盖章） </w:t>
      </w:r>
    </w:p>
    <w:p w14:paraId="72113FDB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法定代表人或其授权                   法定代表人或其授权</w:t>
      </w:r>
    </w:p>
    <w:p w14:paraId="1ACB9CB6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代理人：       （签字）              代理人：      （签字） </w:t>
      </w:r>
    </w:p>
    <w:p w14:paraId="1047B82E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开户银行：                           开户银行： </w:t>
      </w:r>
    </w:p>
    <w:p w14:paraId="2A7169D2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账号：                               账号： </w:t>
      </w:r>
    </w:p>
    <w:p w14:paraId="5BF55E1A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电话：                               电话： </w:t>
      </w:r>
    </w:p>
    <w:p w14:paraId="6F27E9DA">
      <w:pPr>
        <w:adjustRightInd w:val="0"/>
        <w:snapToGrid w:val="0"/>
        <w:spacing w:before="312" w:beforeLines="100" w:line="360" w:lineRule="auto"/>
        <w:ind w:firstLine="475" w:firstLineChars="198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签订日期： 年  月    日</w:t>
      </w:r>
    </w:p>
    <w:p w14:paraId="61C423F8">
      <w:pPr>
        <w:rPr>
          <w:rFonts w:hint="eastAsia" w:ascii="宋体" w:hAnsi="宋体" w:eastAsia="宋体" w:cs="宋体"/>
        </w:rPr>
      </w:pPr>
    </w:p>
    <w:p w14:paraId="1A4D6157">
      <w:pPr>
        <w:rPr>
          <w:rFonts w:hint="eastAsia" w:ascii="宋体" w:hAnsi="宋体" w:eastAsia="宋体" w:cs="宋体"/>
        </w:rPr>
      </w:pPr>
    </w:p>
    <w:p w14:paraId="700BB8CD">
      <w:pPr>
        <w:rPr>
          <w:rFonts w:hint="eastAsia" w:ascii="宋体" w:hAnsi="宋体" w:eastAsia="宋体" w:cs="宋体"/>
        </w:rPr>
      </w:pPr>
    </w:p>
    <w:p w14:paraId="5DB2020C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pgNumType w:start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4394954"/>
      <w:docPartObj>
        <w:docPartGallery w:val="autotext"/>
      </w:docPartObj>
    </w:sdtPr>
    <w:sdtContent>
      <w:p w14:paraId="4781ADEC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 w14:paraId="6CB5ED2E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C99"/>
    <w:rsid w:val="00032CEF"/>
    <w:rsid w:val="001A675B"/>
    <w:rsid w:val="001F5FBF"/>
    <w:rsid w:val="0022712A"/>
    <w:rsid w:val="00271AF1"/>
    <w:rsid w:val="003231ED"/>
    <w:rsid w:val="003A5C99"/>
    <w:rsid w:val="003D38B9"/>
    <w:rsid w:val="003E3BA8"/>
    <w:rsid w:val="005001E0"/>
    <w:rsid w:val="0057394F"/>
    <w:rsid w:val="00765685"/>
    <w:rsid w:val="007F31FB"/>
    <w:rsid w:val="00822D4F"/>
    <w:rsid w:val="00873BE3"/>
    <w:rsid w:val="00933225"/>
    <w:rsid w:val="00973312"/>
    <w:rsid w:val="00A368F1"/>
    <w:rsid w:val="00A50F77"/>
    <w:rsid w:val="00A87872"/>
    <w:rsid w:val="00AA283E"/>
    <w:rsid w:val="00C1175D"/>
    <w:rsid w:val="00C30B94"/>
    <w:rsid w:val="00C872DF"/>
    <w:rsid w:val="00DC2107"/>
    <w:rsid w:val="00EC7FE0"/>
    <w:rsid w:val="00ED1E32"/>
    <w:rsid w:val="00F20B5E"/>
    <w:rsid w:val="00F26E02"/>
    <w:rsid w:val="00F70C99"/>
    <w:rsid w:val="253274B3"/>
    <w:rsid w:val="46E81131"/>
    <w:rsid w:val="5124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1"/>
    <w:autoRedefine/>
    <w:qFormat/>
    <w:uiPriority w:val="0"/>
    <w:pPr>
      <w:spacing w:before="936" w:beforeLines="300" w:line="360" w:lineRule="auto"/>
      <w:jc w:val="center"/>
    </w:pPr>
    <w:rPr>
      <w:rFonts w:ascii="黑体" w:hAnsi="黑体" w:eastAsia="黑体" w:cs="宋体"/>
      <w:b/>
      <w:bCs/>
      <w:sz w:val="32"/>
      <w:szCs w:val="32"/>
      <w14:ligatures w14:val="none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0"/>
      <w14:ligatures w14:val="none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纯文本 字符"/>
    <w:basedOn w:val="8"/>
    <w:link w:val="3"/>
    <w:qFormat/>
    <w:uiPriority w:val="0"/>
    <w:rPr>
      <w:rFonts w:ascii="黑体" w:hAnsi="黑体" w:eastAsia="黑体" w:cs="宋体"/>
      <w:b/>
      <w:bCs/>
      <w:sz w:val="32"/>
      <w:szCs w:val="32"/>
      <w14:ligatures w14:val="none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1146</Words>
  <Characters>1209</Characters>
  <Lines>10</Lines>
  <Paragraphs>2</Paragraphs>
  <TotalTime>0</TotalTime>
  <ScaleCrop>false</ScaleCrop>
  <LinksUpToDate>false</LinksUpToDate>
  <CharactersWithSpaces>1503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2024-08-26T01:43:00Z</dcterms:created>
  <dc:creator>Thinkpad</dc:creator>
  <cp:lastModifiedBy>简单点。</cp:lastModifiedBy>
  <dcterms:modified xsi:type="dcterms:W3CDTF">2026-03-20T01:10:04Z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eyJoZGlkIjoiOWVmZDFkNzQ4NzgxMWZjMWRjZGMwM2RmZjVlMDgzMDUiLCJ1c2VySWQiOiIzMTc2NTQ3MDkifQ==</vt:lpwstr>
  </property>
  <property fmtid="{D5CDD505-2E9C-101B-9397-08002B2CF9AE}" pid="3" name="KSOProductBuildVer">
    <vt:lpwstr>2052-12.1.0.24657</vt:lpwstr>
  </property>
  <property fmtid="{D5CDD505-2E9C-101B-9397-08002B2CF9AE}" pid="4" name="ICV">
    <vt:lpwstr>3B21DF9CB05E45EA8F171760FEE713BC_12</vt:lpwstr>
  </property>
</Properties>
</file>