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版本号：政采-华县-2026-00042、DLCG2026-01020260324001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渭南市华州区2026年残疾人托养服务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政采-华县-2026-00042、DLCG2026-010</w:t>
      </w:r>
      <w:r>
        <w:br/>
      </w:r>
      <w:r>
        <w:br/>
      </w:r>
      <w:r>
        <w:br/>
      </w:r>
    </w:p>
    <w:p>
      <w:pPr>
        <w:pStyle w:val="null3"/>
        <w:jc w:val="center"/>
        <w:outlineLvl w:val="2"/>
      </w:pPr>
      <w:r>
        <w:rPr>
          <w:rFonts w:ascii="仿宋_GB2312" w:hAnsi="仿宋_GB2312" w:cs="仿宋_GB2312" w:eastAsia="仿宋_GB2312"/>
          <w:sz w:val="28"/>
          <w:b/>
        </w:rPr>
        <w:t>渭南市华州区残疾人联合会</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渭南市华州区残疾人联合会</w:t>
      </w:r>
      <w:r>
        <w:rPr>
          <w:rFonts w:ascii="仿宋_GB2312" w:hAnsi="仿宋_GB2312" w:cs="仿宋_GB2312" w:eastAsia="仿宋_GB2312"/>
        </w:rPr>
        <w:t>委托，拟对</w:t>
      </w:r>
      <w:r>
        <w:rPr>
          <w:rFonts w:ascii="仿宋_GB2312" w:hAnsi="仿宋_GB2312" w:cs="仿宋_GB2312" w:eastAsia="仿宋_GB2312"/>
        </w:rPr>
        <w:t>渭南市华州区2026年残疾人托养服务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政采-华县-2026-00042、DLCG2026-010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渭南市华州区2026年残疾人托养服务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为服务对象提供基本生活照料和护理、生活自理能力训练、社会适应能力辅导、运动功能训练等残疾人托养服务。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采购包1（渭南市华州区2026年残疾人托养服务）：属于专门面向中小企业采购。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供应商应授权合法的人员参加磋商全过程，其中法定代表人或负责人直接参加的，须出具法定代表人或负责人身份证，并与营业执照上信息一致。法定代表人或负责人授权代表参加的，须出具法定代表人或负责人授权书及授权代表身份证；</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3、供应商不得存在的情形：单位负责人为同一人或者存在直接控股、管理关系的不同供应商，不得参加同一合同项下的政府采购活动。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陕西省渭南市华州区子仪路中段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0913-3320292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陕西省渭南市临渭区乐天大街碧桂园翡翠公馆北门11栋商铺2层208号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邵宝舟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857号）的有关规定标准，成交供应商向采购代理机构一次付清采购代理服务费。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渭南市华州区残疾人联合会</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符合国家、行业相关法律法规，以及磋商文件要求的技术标准和供应商磋商响应文件，并在项目完成后，由采购人组成验收小组进行验收，经过验收小组一致认为已达到要求视为验收合格。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为服务对象提供基本生活照料和护理、生活自理能力训练、社会适应能力辅导、运动功能训练等残疾人托养服务。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渭南市华州区2026年残疾人托养服务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标的名称：渭南市华州区2026年残疾人托养服务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为服务对象提供基本生活照料和护理、生活自理能力训练、社会适应能力辅导、运动功能训练等残疾人托养服务。</w:t>
            </w:r>
          </w:p>
          <w:tbl>
            <w:tblPr>
              <w:tblInd w:type="dxa" w:w="120"/>
              <w:tblBorders>
                <w:top w:val="none" w:color="000000" w:sz="4"/>
                <w:left w:val="none" w:color="000000" w:sz="4"/>
                <w:bottom w:val="none" w:color="000000" w:sz="4"/>
                <w:right w:val="none" w:color="000000" w:sz="4"/>
                <w:insideH w:val="none"/>
                <w:insideV w:val="none"/>
              </w:tblBorders>
            </w:tblPr>
            <w:tblGrid>
              <w:gridCol w:w="248"/>
              <w:gridCol w:w="304"/>
              <w:gridCol w:w="511"/>
              <w:gridCol w:w="760"/>
              <w:gridCol w:w="373"/>
              <w:gridCol w:w="345"/>
            </w:tblGrid>
            <w:tr>
              <w:tc>
                <w:tcPr>
                  <w:tcW w:type="dxa" w:w="2541"/>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811"/>
                    <w:jc w:val="both"/>
                  </w:pPr>
                  <w:r>
                    <w:rPr>
                      <w:rFonts w:ascii="仿宋_GB2312" w:hAnsi="仿宋_GB2312" w:cs="仿宋_GB2312" w:eastAsia="仿宋_GB2312"/>
                      <w:sz w:val="21"/>
                      <w:b/>
                    </w:rPr>
                    <w:t>日间照料服务项目目录</w:t>
                  </w:r>
                </w:p>
              </w:tc>
            </w:tr>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服务项目</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服务标准</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服务次数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生活照料及护理</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营养餐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1"/>
                      <w:color w:val="000000"/>
                    </w:rPr>
                    <w:t>合理膳食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根据服务项目的特点，提供营养、规律的膳食及助残服务</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制定每周食谱</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理发剃须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洗头、理发、剃须、修剪指甲、洗澡</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每日定点服务，服务过程中尊重残疾人意愿</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洗头2次/周、理发1次/月、剃须2次/周、修剪指甲2次/周、洗澡2次/周</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生活自理能力训练</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日常护理训练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洗衣服及床上用品、个人居室卫生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1.让残疾人有辨别能力（衣物、床上用品清洗干净的，个人居室地面无垃圾，家具无积尘，窗台无污渍）。</w:t>
                  </w:r>
                  <w:r>
                    <w:br/>
                  </w:r>
                  <w:r>
                    <w:rPr>
                      <w:rFonts w:ascii="仿宋_GB2312" w:hAnsi="仿宋_GB2312" w:cs="仿宋_GB2312" w:eastAsia="仿宋_GB2312"/>
                      <w:sz w:val="21"/>
                      <w:color w:val="000000"/>
                    </w:rPr>
                    <w:t>2.无自理能力者</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4次/月</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对有需要的服务对象提供起床、穿衣、就寝、脱衣、整理床铺、如厕服务等基本起居服务</w:t>
                  </w:r>
                </w:p>
              </w:tc>
            </w:tr>
            <w:tr>
              <w:tc>
                <w:tcPr>
                  <w:tcW w:type="dxa" w:w="248"/>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自理能力训练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学习简单家务和劳动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服务人员应充分了解残疾人生理特点及注意事项、服务过程中尊重个人意愿，保证残疾人的安全</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4次/月</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社会适应能力辅导</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读报、助聊、陪行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协助有需要的服务对象通过网络、电视、广播、报纸杂志等多种方式了解新闻及知识、进行交流、进行心理干预；陪同服务对象在居住附近安全合理的地区进行户外运动。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残疾人能听懂。舒缓心情、排遣孤独为原则，每次不少于1小时。</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4次/月</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职业康复与劳动技能训练</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生活技能训练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开展劳动技能培训职业指导等</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展生活自理能力及社会适应能力评估，制定相应的职业康复和劳动技能培训计划，开展与服务对象行为能力相适应的基本生产劳动。通过劳动技能培训，开发服务对象的职业能力，为有需要的服务对象提供职业指导、心理咨询、职业适应能力评定，开展职业康复训练和职业介绍服务</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2次/月</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运动功能训练</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运动功能训练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功能训练</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为有需要的服务对象提供适当的以运动功能为主的训练，指导其规范使用训练器具，帮助其身体运动功能得到恢复</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4次/月</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健康评估</w:t>
                  </w:r>
                </w:p>
              </w:tc>
              <w:tc>
                <w:tcPr>
                  <w:tcW w:type="dxa" w:w="12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肝功能5项、心电图、血常规血糖</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1"/>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居家服务项目目录</w:t>
                  </w:r>
                </w:p>
              </w:tc>
            </w:tr>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服务项目</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服务标准</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服务次数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居家服务机构</w:t>
                  </w:r>
                  <w:r>
                    <w:rPr>
                      <w:rFonts w:ascii="仿宋_GB2312" w:hAnsi="仿宋_GB2312" w:cs="仿宋_GB2312" w:eastAsia="仿宋_GB2312"/>
                      <w:sz w:val="21"/>
                      <w:color w:val="000000"/>
                    </w:rPr>
                    <w:t>生活照料及护理</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营养餐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合理膳食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根据服务项目的特点，提供营养、规律的膳食及助残服务</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制定每周食谱</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理发剃须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洗头、理发、剃须、修剪指甲、洗澡</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每日定点服务，服务过程中尊重残疾人意愿</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洗头</w:t>
                  </w:r>
                  <w:r>
                    <w:rPr>
                      <w:rFonts w:ascii="仿宋_GB2312" w:hAnsi="仿宋_GB2312" w:cs="仿宋_GB2312" w:eastAsia="仿宋_GB2312"/>
                      <w:sz w:val="21"/>
                      <w:color w:val="000000"/>
                    </w:rPr>
                    <w:t>1</w:t>
                  </w:r>
                  <w:r>
                    <w:rPr>
                      <w:rFonts w:ascii="仿宋_GB2312" w:hAnsi="仿宋_GB2312" w:cs="仿宋_GB2312" w:eastAsia="仿宋_GB2312"/>
                      <w:sz w:val="21"/>
                      <w:color w:val="000000"/>
                    </w:rPr>
                    <w:t>次/周、理发1次/月、剃须</w:t>
                  </w:r>
                  <w:r>
                    <w:rPr>
                      <w:rFonts w:ascii="仿宋_GB2312" w:hAnsi="仿宋_GB2312" w:cs="仿宋_GB2312" w:eastAsia="仿宋_GB2312"/>
                      <w:sz w:val="21"/>
                      <w:color w:val="000000"/>
                    </w:rPr>
                    <w:t>1</w:t>
                  </w:r>
                  <w:r>
                    <w:rPr>
                      <w:rFonts w:ascii="仿宋_GB2312" w:hAnsi="仿宋_GB2312" w:cs="仿宋_GB2312" w:eastAsia="仿宋_GB2312"/>
                      <w:sz w:val="21"/>
                      <w:color w:val="000000"/>
                    </w:rPr>
                    <w:t>次/周、修剪指甲</w:t>
                  </w:r>
                  <w:r>
                    <w:rPr>
                      <w:rFonts w:ascii="仿宋_GB2312" w:hAnsi="仿宋_GB2312" w:cs="仿宋_GB2312" w:eastAsia="仿宋_GB2312"/>
                      <w:sz w:val="21"/>
                      <w:color w:val="000000"/>
                    </w:rPr>
                    <w:t>1</w:t>
                  </w:r>
                  <w:r>
                    <w:rPr>
                      <w:rFonts w:ascii="仿宋_GB2312" w:hAnsi="仿宋_GB2312" w:cs="仿宋_GB2312" w:eastAsia="仿宋_GB2312"/>
                      <w:sz w:val="21"/>
                      <w:color w:val="000000"/>
                    </w:rPr>
                    <w:t>次/周、洗澡</w:t>
                  </w:r>
                  <w:r>
                    <w:rPr>
                      <w:rFonts w:ascii="仿宋_GB2312" w:hAnsi="仿宋_GB2312" w:cs="仿宋_GB2312" w:eastAsia="仿宋_GB2312"/>
                      <w:sz w:val="21"/>
                      <w:color w:val="000000"/>
                    </w:rPr>
                    <w:t>1</w:t>
                  </w:r>
                  <w:r>
                    <w:rPr>
                      <w:rFonts w:ascii="仿宋_GB2312" w:hAnsi="仿宋_GB2312" w:cs="仿宋_GB2312" w:eastAsia="仿宋_GB2312"/>
                      <w:sz w:val="21"/>
                      <w:color w:val="000000"/>
                    </w:rPr>
                    <w:t>次/周</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社会适应能力辅导</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读报助聊陪行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协助有需要的服务对象通过网络、电视、广播、报纸杂志等多种方式了解新闻及知识、进行交流、进行心理干预；陪同服务对象在居住附近安全合理的地区进行户外运动。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残疾人能听懂。舒缓心情、排遣孤独为原则，每次不少于1小时。</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次/月</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运动功能训练</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运动功能训练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功能训练</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为有需要的服务对象提供适当的以运动功能为主的训练，指导其规范使用训练器具，帮助其身体运动功能得到恢复</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次/月</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本次服务对象应具有华州区户籍，持有第二代残疾人证，处于就业年龄阶段且有托养服务需求的智力残疾人、稳定期精神残疾人、重度肢体残疾人以及同时存在智力残疾或精神残疾的多重残疾人，优先考虑农村建档立卡贫困户和低保户中的残疾人、城镇低收入残疾人及其他困难残疾人，具体情况详见下表：</w:t>
            </w:r>
          </w:p>
          <w:tbl>
            <w:tblPr>
              <w:tblInd w:type="dxa" w:w="105"/>
              <w:tblBorders>
                <w:top w:val="none" w:color="000000" w:sz="4"/>
                <w:left w:val="none" w:color="000000" w:sz="4"/>
                <w:bottom w:val="none" w:color="000000" w:sz="4"/>
                <w:right w:val="none" w:color="000000" w:sz="4"/>
                <w:insideH w:val="none"/>
                <w:insideV w:val="none"/>
              </w:tblBorders>
            </w:tblPr>
            <w:tblGrid>
              <w:gridCol w:w="279"/>
              <w:gridCol w:w="567"/>
              <w:gridCol w:w="484"/>
              <w:gridCol w:w="512"/>
              <w:gridCol w:w="711"/>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 号</w:t>
                  </w:r>
                </w:p>
              </w:tc>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服务对象</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人数</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服务周期</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单人限价</w:t>
                  </w:r>
                </w:p>
                <w:p>
                  <w:pPr>
                    <w:pStyle w:val="null3"/>
                    <w:jc w:val="center"/>
                  </w:pPr>
                  <w:r>
                    <w:rPr>
                      <w:rFonts w:ascii="仿宋_GB2312" w:hAnsi="仿宋_GB2312" w:cs="仿宋_GB2312" w:eastAsia="仿宋_GB2312"/>
                      <w:sz w:val="21"/>
                      <w:b/>
                      <w:color w:val="000000"/>
                    </w:rPr>
                    <w:t>（元/服务周期）</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日间照料服务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每人3个月</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居家服务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每人3个月</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本项目需按服务项目合理配置托养服务人员，覆盖生活照料、护理、生活自理能力训练、心理咨询疏导等岗位；服务人员须具备精神智力残疾人、重度肢体残疾人护理专业技能，同步配备心理咨询、疏导、康复类专业人员协同服务；全体人员应熟悉残疾人托养相关法律法规、政策条例及业务文件，具备主动服务意识、良好沟通能力与规范服务礼仪；服务全程使用普通话，语言文明简洁清晰，秉持帮残助残理念，态度和蔼亲和，严格尊重残疾人隐私权、名誉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实施前需全面掌握托养残疾人情况，依据残疾类型与等级制定个性化可执行服务方案，服务周期内为服务对象建立包含个人详细信息、残疾类型、健康状态、身体状况、监护人详细信息及托养服务重要内容等的个人信息档案，每两周至少组织一次对托养服务人员服务标准与质量考核，不达标人员及时更换，同时为已完成服务的残疾人提供跟踪随访及7*8小时远程咨询服务，收集反馈并处理日常咨询需求；服务过程中须主动配合采购人不定期开展的服务综合能力评价考核，考核不达标需按要求整改，整改后仍不达标的接受处罚或由采购人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符合国家、行业相关法律法规，以及磋商文件要求的技术标准和供应商磋商响应文件，并在项目完成后，由采购人组成验收小组进行验收，经过验收小组一致认为已达到要求视为验收合格。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项目内容全部完成，验收合格后，按实际服务人数结算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中标结果公告发布后3个工作日内提供叁套纸质投标文件（经编标工具生成的文件直接打印并加盖公章），递交的纸质版文件内容确保与线上电子文件保持一致，不允许修改和补充。2.该项目采购标的所属行业，为采购文件中明确的所属行业。供应商应根据《政府采购促进中小企业发展管理办法》、《关于印发中小企业划型标准规定的通知》(工信部联企业(2011)300号)要求和采购文件规定的采购标的所属行业进行企业划型。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1.供应商应具备独立承担民事责任能力的法人、其他组织或自然人，提供合法有效的统一社会信用代码的营业执照副本或相关证明（自然人提供身份证复印件）； 2.提供具有财务审计资质单位出具的2024年或2025年度的财务报告或响应文件提交截止时间前六个月内其基本账户银行出具的资信证明； 3.供应商提供响应文件提交截止时间前一年内任意一个月的社会保障资金缴存证明或社保机构开具的社会保险参保缴费情况证明； 4.供应商提供响应文件提交截止时间前一年内任意一个月的依法缴纳税收的相关证明，依法免税需提供相关证明材料； 5.提供供应商参加政府采购活动前三年内经营活动中没有重大违法纪录的书面声明； 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的，须出具法定代表人或负责人身份证，并与营业执照上信息一致。法定代表人或负责人授权代表参加的，须出具法定代表人或负责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供应商不得存在的情形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磋商响应文件签字、盖章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标的清单 报价表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供应商投标报价未出现选择性报价，未超出采购最高限价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供应商提供的服务(货物)无实质性遗漏</w:t>
            </w:r>
          </w:p>
        </w:tc>
        <w:tc>
          <w:tcPr>
            <w:tcW w:type="dxa" w:w="1661"/>
          </w:tcPr>
          <w:p>
            <w:pPr>
              <w:pStyle w:val="null3"/>
            </w:pPr>
            <w:r>
              <w:rPr>
                <w:rFonts w:ascii="仿宋_GB2312" w:hAnsi="仿宋_GB2312" w:cs="仿宋_GB2312" w:eastAsia="仿宋_GB2312"/>
              </w:rPr>
              <w:t>服务内容及服务邀请应答表 商务应答表.docx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托养服务方案</w:t>
            </w:r>
          </w:p>
        </w:tc>
        <w:tc>
          <w:tcPr>
            <w:tcW w:type="dxa" w:w="2492"/>
          </w:tcPr>
          <w:p>
            <w:pPr>
              <w:pStyle w:val="null3"/>
            </w:pPr>
            <w:r>
              <w:rPr>
                <w:rFonts w:ascii="仿宋_GB2312" w:hAnsi="仿宋_GB2312" w:cs="仿宋_GB2312" w:eastAsia="仿宋_GB2312"/>
              </w:rPr>
              <w:t>一、评审内容：针对本项目提供托养服务方案，包括但不限于：①整体工作部署；②服务流程；③档案信息管理；④服务日常考核措施；⑤运动功能训练方案；⑥生活自理能力训练方案；⑦生活照料和护理方案；⑧社会适应能力辅导方案等。二、评审标准：提供详细、合理、科学可行的方案，方案符合本项目采购需求有针对性，以上8项，以序号①、②、③、④、⑤、⑥、⑦、⑧为项数，内容无缺项、无漏项且无缺陷的得24分，其中每有一项内容存在缺项或漏项的扣3分，每项内容中每有一处存在缺陷的扣0.5分，该项分值扣完为止，未提供不得分。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管理机制</w:t>
            </w:r>
          </w:p>
        </w:tc>
        <w:tc>
          <w:tcPr>
            <w:tcW w:type="dxa" w:w="2492"/>
          </w:tcPr>
          <w:p>
            <w:pPr>
              <w:pStyle w:val="null3"/>
            </w:pPr>
            <w:r>
              <w:rPr>
                <w:rFonts w:ascii="仿宋_GB2312" w:hAnsi="仿宋_GB2312" w:cs="仿宋_GB2312" w:eastAsia="仿宋_GB2312"/>
              </w:rPr>
              <w:t>一、评审内容：针对本项目特点制定管理机制，包括但不限于：①管理体系；②各项管理制度；③整体服务管控措施。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包括但不限于①应急事件处置流程；②应急保障措施；③应急人员保障等。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一、评审内容：供应商提供针对本项目团队人员配备方案，包括但不限于：①团队人员配置清单；②岗位职责安排；③人员管理制度；④相关资格证件等。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括不限于：①服务质量承诺；②服务周期承诺；③为确保项目能按时按质完成，接受采购人对服务的监督及管理的承诺；④在项目服务过程中，不随意更换项目团队人员的承诺等。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供应商提供自2023年3月1日至今类似业绩的证明材料（合同或中标/成交通知书复印件加盖公章，以合同签订时间或中标/成交通知书发出为准）每提供一项得2分，最高得10分，不提供不得分。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价格分采用低价优先法计算，即满足采购文件要求且投标报价最低的投标报价为评标基准价，其价格分为满分。其他供应商的价格得分统一按照下列公式计算： 投标报价得分=（评标基准价/有效报价）×价格权值（15%）×100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