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版本号：NBC-2026-ZFGK-F-20-120260326002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2025年森林生态保护补偿支出（森林修复）项目（第二批）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NBC-2026-ZFGK-F-20-1</w:t>
      </w:r>
      <w:r>
        <w:br/>
      </w:r>
      <w:r>
        <w:br/>
      </w:r>
      <w:r>
        <w:br/>
      </w:r>
    </w:p>
    <w:p>
      <w:pPr>
        <w:pStyle w:val="null3"/>
        <w:jc w:val="center"/>
        <w:outlineLvl w:val="2"/>
      </w:pPr>
      <w:r>
        <w:rPr>
          <w:rFonts w:ascii="仿宋_GB2312" w:hAnsi="仿宋_GB2312" w:cs="仿宋_GB2312" w:eastAsia="仿宋_GB2312"/>
          <w:sz w:val="28"/>
          <w:b/>
        </w:rPr>
        <w:t>渭南市华州区林业局</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渭南市华州区林业局</w:t>
      </w:r>
      <w:r>
        <w:rPr>
          <w:rFonts w:ascii="仿宋_GB2312" w:hAnsi="仿宋_GB2312" w:cs="仿宋_GB2312" w:eastAsia="仿宋_GB2312"/>
        </w:rPr>
        <w:t>委托，拟对</w:t>
      </w:r>
      <w:r>
        <w:rPr>
          <w:rFonts w:ascii="仿宋_GB2312" w:hAnsi="仿宋_GB2312" w:cs="仿宋_GB2312" w:eastAsia="仿宋_GB2312"/>
        </w:rPr>
        <w:t>2025年森林生态保护补偿支出（森林修复）项目（第二批）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NBC-2026-ZFGK-F-20-1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2025年森林生态保护补偿支出（森林修复）项目（第二批）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2025年森林生态保护补偿支出（森林修复）项目（第二批）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采购包1（2025年森林生态保护补偿支出（森林修复）项目（第二批））：属于专门面向中小企业采购。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1、授权合法的人员参加磋商全过程：提供法定代表人授权委托书及委托代理人有效身份证扫描件，法定代表人直接参加会议，须提供法定代表人身份证明及其有效身份证扫描件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华州区新秦南路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渭南市华州区林业局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09134731433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 1701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张贝贝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13279453711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采购包1：2,412,000.00元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代理服务费收费标准：代理服务费的收取参见国家计委颁布的《招标代理服务收费管理暂行办法》（计价格〔2002〕1980号）和（发改办价格〔2003〕857号）收费标准收取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渭南市华州区林业局</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联系人：张贝贝</w:t>
      </w:r>
    </w:p>
    <w:p>
      <w:pPr>
        <w:pStyle w:val="null3"/>
      </w:pPr>
      <w:r>
        <w:rPr>
          <w:rFonts w:ascii="仿宋_GB2312" w:hAnsi="仿宋_GB2312" w:cs="仿宋_GB2312" w:eastAsia="仿宋_GB2312"/>
        </w:rPr>
        <w:t>联系电话：13279453712</w:t>
      </w:r>
    </w:p>
    <w:p>
      <w:pPr>
        <w:pStyle w:val="null3"/>
      </w:pPr>
      <w:r>
        <w:rPr>
          <w:rFonts w:ascii="仿宋_GB2312" w:hAnsi="仿宋_GB2312" w:cs="仿宋_GB2312" w:eastAsia="仿宋_GB2312"/>
        </w:rPr>
        <w:t>地址：陕西省西安市曲江文创中心7号楼17楼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2,412,000.00</w:t>
      </w:r>
    </w:p>
    <w:p>
      <w:pPr>
        <w:pStyle w:val="null3"/>
      </w:pPr>
      <w:r>
        <w:rPr>
          <w:rFonts w:ascii="仿宋_GB2312" w:hAnsi="仿宋_GB2312" w:cs="仿宋_GB2312" w:eastAsia="仿宋_GB2312"/>
        </w:rPr>
        <w:t>采购包最高限价（元）: 2,412,000.00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2025年森林生态保护补偿支出（森林修复）项目（第二批）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2,412,000.00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标的名称：2025年森林生态保护补偿支出（森林修复）项目（第二批）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作业区位于华州区国有生态林场、金堆镇寺坪村和石可社区作业区，本次森林修复项目共区划小班</w:t>
            </w:r>
            <w:r>
              <w:rPr>
                <w:rFonts w:ascii="仿宋_GB2312" w:hAnsi="仿宋_GB2312" w:cs="仿宋_GB2312" w:eastAsia="仿宋_GB2312"/>
                <w:sz w:val="21"/>
              </w:rPr>
              <w:t>36个，小班面积7289亩，可作业面积7000亩，完成7000亩的森林修复任务及监测样地的建设。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二、需执行的国家相关标准、行业标准、地方标准或者其他标准、规范标准国家财政部、国家林业局关于印发</w:t>
            </w:r>
            <w:r>
              <w:rPr>
                <w:rFonts w:ascii="仿宋_GB2312" w:hAnsi="仿宋_GB2312" w:cs="仿宋_GB2312" w:eastAsia="仿宋_GB2312"/>
                <w:sz w:val="24"/>
              </w:rPr>
              <w:t>《</w:t>
            </w:r>
            <w:r>
              <w:rPr>
                <w:rFonts w:ascii="仿宋_GB2312" w:hAnsi="仿宋_GB2312" w:cs="仿宋_GB2312" w:eastAsia="仿宋_GB2312"/>
                <w:sz w:val="21"/>
              </w:rPr>
              <w:t>林业草原改革发展资金管理办法》（财资环〔</w:t>
            </w:r>
            <w:r>
              <w:rPr>
                <w:rFonts w:ascii="仿宋_GB2312" w:hAnsi="仿宋_GB2312" w:cs="仿宋_GB2312" w:eastAsia="仿宋_GB2312"/>
                <w:sz w:val="21"/>
              </w:rPr>
              <w:t>2024〕38 号）；</w:t>
            </w:r>
            <w:r>
              <w:br/>
            </w:r>
            <w:r>
              <w:rPr>
                <w:rFonts w:ascii="仿宋_GB2312" w:hAnsi="仿宋_GB2312" w:cs="仿宋_GB2312" w:eastAsia="仿宋_GB2312"/>
                <w:sz w:val="21"/>
              </w:rPr>
              <w:t xml:space="preserve"> </w:t>
            </w:r>
            <w:r>
              <w:rPr>
                <w:rFonts w:ascii="仿宋_GB2312" w:hAnsi="仿宋_GB2312" w:cs="仿宋_GB2312" w:eastAsia="仿宋_GB2312"/>
                <w:sz w:val="21"/>
              </w:rPr>
              <w:t>国家林业局《关于贯彻执行新修订《森林抚育规程》的通知》林造发</w:t>
            </w:r>
            <w:r>
              <w:rPr>
                <w:rFonts w:ascii="仿宋_GB2312" w:hAnsi="仿宋_GB2312" w:cs="仿宋_GB2312" w:eastAsia="仿宋_GB2312"/>
                <w:sz w:val="21"/>
              </w:rPr>
              <w:t>(2015)113号:渭南市林业局《关于下达2025年第二批林业草原生态保护恢复资金计划的通知》渭林发(2025)90号；</w:t>
            </w:r>
            <w:r>
              <w:br/>
            </w:r>
            <w:r>
              <w:rPr>
                <w:rFonts w:ascii="仿宋_GB2312" w:hAnsi="仿宋_GB2312" w:cs="仿宋_GB2312" w:eastAsia="仿宋_GB2312"/>
                <w:sz w:val="21"/>
              </w:rPr>
              <w:t xml:space="preserve"> </w:t>
            </w:r>
            <w:r>
              <w:rPr>
                <w:rFonts w:ascii="仿宋_GB2312" w:hAnsi="仿宋_GB2312" w:cs="仿宋_GB2312" w:eastAsia="仿宋_GB2312"/>
                <w:sz w:val="21"/>
              </w:rPr>
              <w:t>《森林抚育规程》</w:t>
            </w:r>
            <w:r>
              <w:rPr>
                <w:rFonts w:ascii="仿宋_GB2312" w:hAnsi="仿宋_GB2312" w:cs="仿宋_GB2312" w:eastAsia="仿宋_GB2312"/>
                <w:sz w:val="21"/>
              </w:rPr>
              <w:t>GB/TI5781-2015；</w:t>
            </w:r>
            <w:r>
              <w:br/>
            </w:r>
            <w:r>
              <w:rPr>
                <w:rFonts w:ascii="仿宋_GB2312" w:hAnsi="仿宋_GB2312" w:cs="仿宋_GB2312" w:eastAsia="仿宋_GB2312"/>
                <w:sz w:val="21"/>
              </w:rPr>
              <w:t xml:space="preserve"> </w:t>
            </w:r>
            <w:r>
              <w:rPr>
                <w:rFonts w:ascii="仿宋_GB2312" w:hAnsi="仿宋_GB2312" w:cs="仿宋_GB2312" w:eastAsia="仿宋_GB2312"/>
                <w:sz w:val="21"/>
              </w:rPr>
              <w:t>《森林资源规划设计调查技术规程》</w:t>
            </w:r>
            <w:r>
              <w:rPr>
                <w:rFonts w:ascii="仿宋_GB2312" w:hAnsi="仿宋_GB2312" w:cs="仿宋_GB2312" w:eastAsia="仿宋_GB2312"/>
                <w:sz w:val="21"/>
              </w:rPr>
              <w:t>GBT26424-2010；</w:t>
            </w:r>
            <w:r>
              <w:br/>
            </w:r>
            <w:r>
              <w:rPr>
                <w:rFonts w:ascii="仿宋_GB2312" w:hAnsi="仿宋_GB2312" w:cs="仿宋_GB2312" w:eastAsia="仿宋_GB2312"/>
                <w:sz w:val="21"/>
              </w:rPr>
              <w:t xml:space="preserve"> </w:t>
            </w:r>
            <w:r>
              <w:rPr>
                <w:rFonts w:ascii="仿宋_GB2312" w:hAnsi="仿宋_GB2312" w:cs="仿宋_GB2312" w:eastAsia="仿宋_GB2312"/>
                <w:sz w:val="21"/>
              </w:rPr>
              <w:t>国家林业局《森林抚育作业设计规定》</w:t>
            </w:r>
            <w:r>
              <w:rPr>
                <w:rFonts w:ascii="仿宋_GB2312" w:hAnsi="仿宋_GB2312" w:cs="仿宋_GB2312" w:eastAsia="仿宋_GB2312"/>
                <w:sz w:val="21"/>
              </w:rPr>
              <w:t>(2015)；</w:t>
            </w:r>
            <w:r>
              <w:br/>
            </w:r>
            <w:r>
              <w:rPr>
                <w:rFonts w:ascii="仿宋_GB2312" w:hAnsi="仿宋_GB2312" w:cs="仿宋_GB2312" w:eastAsia="仿宋_GB2312"/>
                <w:sz w:val="21"/>
              </w:rPr>
              <w:t xml:space="preserve"> </w:t>
            </w:r>
            <w:r>
              <w:rPr>
                <w:rFonts w:ascii="仿宋_GB2312" w:hAnsi="仿宋_GB2312" w:cs="仿宋_GB2312" w:eastAsia="仿宋_GB2312"/>
                <w:sz w:val="21"/>
              </w:rPr>
              <w:t>《森林采伐作业规程》</w:t>
            </w:r>
            <w:r>
              <w:rPr>
                <w:rFonts w:ascii="仿宋_GB2312" w:hAnsi="仿宋_GB2312" w:cs="仿宋_GB2312" w:eastAsia="仿宋_GB2312"/>
                <w:sz w:val="21"/>
              </w:rPr>
              <w:t>LY/T 1646-2005)；</w:t>
            </w:r>
            <w:r>
              <w:br/>
            </w:r>
            <w:r>
              <w:rPr>
                <w:rFonts w:ascii="仿宋_GB2312" w:hAnsi="仿宋_GB2312" w:cs="仿宋_GB2312" w:eastAsia="仿宋_GB2312"/>
                <w:sz w:val="21"/>
              </w:rPr>
              <w:t xml:space="preserve"> </w:t>
            </w:r>
            <w:r>
              <w:rPr>
                <w:rFonts w:ascii="仿宋_GB2312" w:hAnsi="仿宋_GB2312" w:cs="仿宋_GB2312" w:eastAsia="仿宋_GB2312"/>
                <w:sz w:val="21"/>
              </w:rPr>
              <w:t>《生态公益林建设技术规程》</w:t>
            </w:r>
            <w:r>
              <w:rPr>
                <w:rFonts w:ascii="仿宋_GB2312" w:hAnsi="仿宋_GB2312" w:cs="仿宋_GB2312" w:eastAsia="仿宋_GB2312"/>
                <w:sz w:val="21"/>
              </w:rPr>
              <w:t>GBT18337.1--3-2001；</w:t>
            </w:r>
            <w:r>
              <w:br/>
            </w:r>
            <w:r>
              <w:rPr>
                <w:rFonts w:ascii="仿宋_GB2312" w:hAnsi="仿宋_GB2312" w:cs="仿宋_GB2312" w:eastAsia="仿宋_GB2312"/>
                <w:sz w:val="21"/>
              </w:rPr>
              <w:t xml:space="preserve"> </w:t>
            </w:r>
            <w:r>
              <w:rPr>
                <w:rFonts w:ascii="仿宋_GB2312" w:hAnsi="仿宋_GB2312" w:cs="仿宋_GB2312" w:eastAsia="仿宋_GB2312"/>
                <w:sz w:val="21"/>
              </w:rPr>
              <w:t>其它行业、地方现行执行规范、规程、标准。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三、工期</w:t>
            </w:r>
          </w:p>
          <w:p>
            <w:pPr>
              <w:pStyle w:val="null3"/>
            </w:pPr>
            <w:r>
              <w:rPr>
                <w:rFonts w:ascii="仿宋_GB2312" w:hAnsi="仿宋_GB2312" w:cs="仿宋_GB2312" w:eastAsia="仿宋_GB2312"/>
                <w:sz w:val="18"/>
              </w:rPr>
              <w:t>90日历天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四、付款方式</w:t>
            </w:r>
          </w:p>
          <w:p>
            <w:pPr>
              <w:pStyle w:val="null3"/>
            </w:pPr>
            <w:r>
              <w:rPr>
                <w:rFonts w:ascii="仿宋_GB2312" w:hAnsi="仿宋_GB2312" w:cs="仿宋_GB2312" w:eastAsia="仿宋_GB2312"/>
              </w:rPr>
              <w:t>乙方施工完成后报甲方和监理进行验收，经甲方和监理共同验收合格，甲方付给乙方合同额60%；经相关主管部门全部验收合格且完成结算审计后，甲方付给乙方合同额37%；待项目竣工且运行一年后经乙方申请甲方予以支付合同价款的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投标人所报价格应考虑到可能发生的所有与完成本项目有关的一切费用。投标报价是供应商为完成本次投标所要求的货物、服务及工程且验收合格的所有费用，包括但不限于投标人完成本项目所需的人工费、材料费、设备费、管理费、验收费、利润和税金等所产生的全部费用。任何有选择的报价将不予接受，按无效投标处理。 （二）由投标人自行承担因现场踏勘而产生的费用及安全。（三）本项目所属行业为：农林牧渔业。根据《工业和信息化部、国家统计局、国家发展和改革委员会、财政部关于印发中小企业划型标准规定的通知》《工信部联企业(2011)300 号)规定的划分标准，营业收入80000万元以下或资产总额80000万元以下的为中小微型企业。其中，营业收⼊20000万元以下的为中小微型企业。其中，营业收⼊500万元及以上的为中型企业，营业收⼊50万元及以上的为小型企业，营业收⼊50万元以下的为微型企业。（四）、中标人在领取中标通知书前，需向招标代理机构提交加盖公章的纸质版投标文件二套，中标人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2、具有履行合同所必需的设备和专业技术能力的书面声明（格式详见附件）； 3、有依法缴纳税收和社会保障资金的良好记录（提供开标前12个月内任一月份的社保和缴纳税收的证明，依法不需要缴纳社会保障资金、免税或无须缴纳税款的供应商，应提供相关证明文件)；4、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或2025年度审计报告（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授权合法的人员参加磋商全过程</w:t>
            </w:r>
          </w:p>
        </w:tc>
        <w:tc>
          <w:tcPr>
            <w:tcW w:type="dxa" w:w="3322"/>
          </w:tcPr>
          <w:p>
            <w:pPr>
              <w:pStyle w:val="null3"/>
            </w:pPr>
            <w:r>
              <w:rPr>
                <w:rFonts w:ascii="仿宋_GB2312" w:hAnsi="仿宋_GB2312" w:cs="仿宋_GB2312" w:eastAsia="仿宋_GB2312"/>
              </w:rPr>
              <w:t>提供法定代表人授权委托书及委托代理人有效身份证扫描件，法定代表人直接参加会议，须提供法定代表人身份证明及其有效身份证扫描件</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响应文件初步审查</w:t>
            </w:r>
          </w:p>
        </w:tc>
        <w:tc>
          <w:tcPr>
            <w:tcW w:type="dxa" w:w="3322"/>
          </w:tcPr>
          <w:p>
            <w:pPr>
              <w:pStyle w:val="null3"/>
            </w:pPr>
            <w:r>
              <w:rPr>
                <w:rFonts w:ascii="仿宋_GB2312" w:hAnsi="仿宋_GB2312" w:cs="仿宋_GB2312" w:eastAsia="仿宋_GB2312"/>
              </w:rPr>
              <w:t>磋商小组应当对供应商提交的响应文件进行初步审查，包括响应文件的有效性、完整性、符合性。除可变动的技术、服务要求以及合同草案条款外，响应文件有下列情况之一，其响应文件无效。 (1)未按照磋商文件规定要求签署、盖章的；(2)磋商有效期不足的或无有效期的；(3)报价超过磋商文件中规定的预算金额或最高限价的；(4)不满足本磋商文件中第三章“三、针对本项目的其他技术服务要求”条款内容的； (5)法律、规章、规范性文件和招标文件规定的其他无效情形。</w:t>
            </w:r>
          </w:p>
        </w:tc>
        <w:tc>
          <w:tcPr>
            <w:tcW w:type="dxa" w:w="1661"/>
          </w:tcPr>
          <w:p>
            <w:pPr>
              <w:pStyle w:val="null3"/>
            </w:pPr>
            <w:r>
              <w:rPr>
                <w:rFonts w:ascii="仿宋_GB2312" w:hAnsi="仿宋_GB2312" w:cs="仿宋_GB2312" w:eastAsia="仿宋_GB2312"/>
              </w:rPr>
              <w:t>响应文件封面 类似项目业绩一览表.docx 中小企业声明函 残疾人福利性单位声明函 报价函 标的清单 技术、商务响应说明.docx 响应函 相关资格证明材料.docx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（1）实施方案整体思路及主要方案； （2）森林修复措施； （3）重难点分析； （4）进度计划安排及保障措施； （5）整体管理措施。 二、评审标准：1.针对性：符合本项目实际情况，专业性强、内容科学合理；2.完整性：内容完整详细，条理清晰；3.可实施性：安排及措施可实施性强。 三、赋分标准（30分）： 按照供应商编制内容每项完全满足一个评审标准得2分，满分6分；每有一项内容出现一处存在缺陷的扣2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（1）火情应急预案； （2）人为砍伐应急预案；（3）自然灾害应急预案；（4）其他应急措施；二、评审标准：1.针对性：符合本项目实际情况，专业性强、内容科学合理；2.完整性：内容完整详细，条理清晰；3.可实施性：安排及措施可实施性强。 三、赋分标准（12分）：按照供应商编制内容每项完全满足一个评审标准得1分，满分3分；每有一项内容出现一处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文明施工、环境保护管理措施</w:t>
            </w:r>
          </w:p>
        </w:tc>
        <w:tc>
          <w:tcPr>
            <w:tcW w:type="dxa" w:w="2492"/>
          </w:tcPr>
          <w:p>
            <w:pPr>
              <w:pStyle w:val="null3"/>
            </w:pPr>
            <w:r>
              <w:rPr>
                <w:rFonts w:ascii="仿宋_GB2312" w:hAnsi="仿宋_GB2312" w:cs="仿宋_GB2312" w:eastAsia="仿宋_GB2312"/>
              </w:rPr>
              <w:t>一、评审内容： （1）文明施工管理措施；（2）环境保护管理措施；二、评审标准： 1.针对性：符合本项目实际情况，专业性强、内容科学合理；2.完整性：内容完整详细，条理清晰；3.可实施性：安排及措施可实施性强。 三、赋分标准（9分）：按照供应商编制内容每项完全满足一个评审标准得1.5分，满分4.5分；每有一项内容出现一处存在缺陷的扣1.5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项目组织管理及人员安排</w:t>
            </w:r>
          </w:p>
        </w:tc>
        <w:tc>
          <w:tcPr>
            <w:tcW w:type="dxa" w:w="2492"/>
          </w:tcPr>
          <w:p>
            <w:pPr>
              <w:pStyle w:val="null3"/>
            </w:pPr>
            <w:r>
              <w:rPr>
                <w:rFonts w:ascii="仿宋_GB2312" w:hAnsi="仿宋_GB2312" w:cs="仿宋_GB2312" w:eastAsia="仿宋_GB2312"/>
              </w:rPr>
              <w:t>一、项目负责人提供中级职称得 1 分；提供 高级职称得2 分，满分 2 分； 二、项目组人员整体实力：针对本项目特点，提出全面明确的人员工作管理部署方案。 人员配备齐全、合理、业务能力强，完全满足项目需要得 5-8分；配备较齐全、合理，基本满足项目需要得3-5分； 配备专业不齐全、配置不合理，可能影响项目进度及质量得 0-3分；未提供的得 0 分。 评审依据： 以上人员须提供不限于身份证、学历证、职称证、执业证等资料，未提供相关内容不得分。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针对本项目服务内容提出的合理化建议。 二、评审标准： （1）针对性：能够紧扣项目实际情况，专业性强、内容科学合理； （2）可实施性：切合本项目实际情况，步骤明确、可操作性强。 三、赋分标准（4分）：按照供应商编制内容每项完全满足一个评审标准得2分，满分4分；每有一项内容出现一处存在缺陷的扣2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供应商具有近三年（2023年3月至今）的类似项目业绩（以合同签订时间为准）每个计1分，最多计5分。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详见附件：技术、商务响应说明.docx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