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6B0E7">
      <w:pPr>
        <w:pStyle w:val="2"/>
        <w:spacing w:before="0" w:after="312" w:afterLines="100" w:line="360" w:lineRule="auto"/>
        <w:jc w:val="center"/>
        <w:rPr>
          <w:rFonts w:ascii="宋体" w:hAnsi="宋体" w:cs="宋体"/>
        </w:rPr>
      </w:pPr>
      <w:r>
        <w:rPr>
          <w:rFonts w:hint="eastAsia" w:ascii="宋体" w:hAnsi="宋体" w:cs="宋体"/>
        </w:rPr>
        <w:t>合同条款及格式</w:t>
      </w:r>
    </w:p>
    <w:p w14:paraId="720C3B8F">
      <w:pPr>
        <w:spacing w:line="360" w:lineRule="auto"/>
        <w:jc w:val="center"/>
        <w:rPr>
          <w:rFonts w:ascii="宋体" w:hAnsi="宋体" w:cs="宋体"/>
          <w:b/>
          <w:sz w:val="44"/>
          <w:szCs w:val="44"/>
        </w:rPr>
      </w:pPr>
    </w:p>
    <w:p w14:paraId="2E867765">
      <w:pPr>
        <w:spacing w:line="360" w:lineRule="auto"/>
        <w:jc w:val="center"/>
        <w:rPr>
          <w:rFonts w:ascii="宋体" w:hAnsi="宋体" w:cs="宋体"/>
        </w:rPr>
      </w:pPr>
      <w:r>
        <w:rPr>
          <w:rFonts w:hint="eastAsia" w:ascii="宋体" w:hAnsi="宋体" w:eastAsia="宋体" w:cs="宋体"/>
          <w:b/>
          <w:bCs/>
          <w:kern w:val="44"/>
          <w:sz w:val="48"/>
          <w:szCs w:val="48"/>
        </w:rPr>
        <w:t>渭南市华州区政务服务网络平台运维项目</w:t>
      </w:r>
    </w:p>
    <w:p w14:paraId="48A808D1">
      <w:pPr>
        <w:adjustRightInd w:val="0"/>
        <w:snapToGrid w:val="0"/>
        <w:spacing w:line="360" w:lineRule="auto"/>
        <w:jc w:val="center"/>
        <w:rPr>
          <w:rFonts w:ascii="宋体" w:hAnsi="宋体" w:cs="宋体"/>
          <w:b/>
          <w:bCs/>
          <w:sz w:val="36"/>
          <w:szCs w:val="36"/>
        </w:rPr>
      </w:pPr>
    </w:p>
    <w:p w14:paraId="668DF4EE">
      <w:pPr>
        <w:adjustRightInd w:val="0"/>
        <w:snapToGrid w:val="0"/>
        <w:spacing w:line="360" w:lineRule="auto"/>
        <w:jc w:val="center"/>
        <w:rPr>
          <w:rFonts w:ascii="宋体" w:hAnsi="宋体" w:cs="宋体"/>
          <w:b/>
          <w:bCs/>
          <w:sz w:val="36"/>
          <w:szCs w:val="36"/>
        </w:rPr>
      </w:pPr>
    </w:p>
    <w:p w14:paraId="1C5F9A17">
      <w:pPr>
        <w:adjustRightInd w:val="0"/>
        <w:snapToGrid w:val="0"/>
        <w:spacing w:line="360" w:lineRule="auto"/>
        <w:jc w:val="center"/>
        <w:rPr>
          <w:rFonts w:ascii="宋体" w:hAnsi="宋体" w:cs="宋体"/>
          <w:b/>
          <w:bCs/>
          <w:sz w:val="36"/>
          <w:szCs w:val="36"/>
        </w:rPr>
      </w:pPr>
    </w:p>
    <w:p w14:paraId="6ED70B99">
      <w:pPr>
        <w:adjustRightInd w:val="0"/>
        <w:snapToGrid w:val="0"/>
        <w:spacing w:line="360" w:lineRule="auto"/>
        <w:jc w:val="center"/>
        <w:rPr>
          <w:rFonts w:ascii="宋体" w:hAnsi="宋体" w:cs="宋体"/>
          <w:b/>
          <w:bCs/>
          <w:sz w:val="36"/>
          <w:szCs w:val="36"/>
        </w:rPr>
      </w:pPr>
      <w:r>
        <w:rPr>
          <w:rFonts w:hint="eastAsia" w:ascii="宋体" w:hAnsi="宋体" w:cs="宋体"/>
          <w:b/>
          <w:bCs/>
          <w:sz w:val="36"/>
          <w:szCs w:val="36"/>
        </w:rPr>
        <w:t>（示范文本，最终已签订为准）</w:t>
      </w:r>
    </w:p>
    <w:p w14:paraId="288F6C9F">
      <w:pPr>
        <w:spacing w:line="360" w:lineRule="auto"/>
        <w:ind w:firstLine="480"/>
        <w:rPr>
          <w:rFonts w:ascii="宋体" w:hAnsi="宋体" w:cs="宋体"/>
        </w:rPr>
      </w:pPr>
    </w:p>
    <w:p w14:paraId="059B6063">
      <w:pPr>
        <w:spacing w:line="360" w:lineRule="auto"/>
        <w:ind w:firstLine="480"/>
        <w:rPr>
          <w:rFonts w:ascii="宋体" w:hAnsi="宋体" w:cs="宋体"/>
        </w:rPr>
      </w:pPr>
    </w:p>
    <w:p w14:paraId="0DBD2F99">
      <w:pPr>
        <w:spacing w:line="360" w:lineRule="auto"/>
        <w:ind w:firstLine="480"/>
        <w:rPr>
          <w:rFonts w:ascii="宋体" w:hAnsi="宋体" w:cs="宋体"/>
        </w:rPr>
      </w:pPr>
    </w:p>
    <w:p w14:paraId="2F5E7D70">
      <w:pPr>
        <w:spacing w:line="360" w:lineRule="auto"/>
        <w:ind w:firstLine="480"/>
        <w:rPr>
          <w:rFonts w:ascii="宋体" w:hAnsi="宋体" w:cs="宋体"/>
        </w:rPr>
      </w:pPr>
    </w:p>
    <w:p w14:paraId="000D6F9C">
      <w:pPr>
        <w:pStyle w:val="4"/>
        <w:spacing w:line="360" w:lineRule="auto"/>
        <w:rPr>
          <w:rFonts w:ascii="宋体" w:hAnsi="宋体" w:cs="宋体"/>
        </w:rPr>
      </w:pPr>
    </w:p>
    <w:p w14:paraId="37416ACA">
      <w:pPr>
        <w:spacing w:line="360" w:lineRule="auto"/>
        <w:rPr>
          <w:rFonts w:ascii="宋体" w:hAnsi="宋体" w:cs="宋体"/>
        </w:rPr>
      </w:pPr>
    </w:p>
    <w:p w14:paraId="72516257">
      <w:pPr>
        <w:spacing w:line="360" w:lineRule="auto"/>
        <w:rPr>
          <w:rFonts w:ascii="宋体" w:hAnsi="宋体" w:cs="宋体"/>
        </w:rPr>
      </w:pPr>
    </w:p>
    <w:p w14:paraId="3D78B607">
      <w:pPr>
        <w:pStyle w:val="4"/>
        <w:spacing w:line="360" w:lineRule="auto"/>
        <w:rPr>
          <w:rFonts w:ascii="宋体" w:hAnsi="宋体" w:cs="宋体"/>
        </w:rPr>
      </w:pPr>
    </w:p>
    <w:p w14:paraId="2E95FA7C">
      <w:pPr>
        <w:spacing w:line="360" w:lineRule="auto"/>
        <w:rPr>
          <w:rFonts w:ascii="宋体" w:hAnsi="宋体" w:cs="宋体"/>
        </w:rPr>
      </w:pPr>
    </w:p>
    <w:p w14:paraId="3EC7F06D">
      <w:pPr>
        <w:spacing w:line="360" w:lineRule="auto"/>
        <w:rPr>
          <w:rFonts w:ascii="宋体" w:hAnsi="宋体" w:cs="宋体"/>
        </w:rPr>
      </w:pPr>
    </w:p>
    <w:p w14:paraId="4904305B">
      <w:pPr>
        <w:spacing w:line="360" w:lineRule="auto"/>
        <w:ind w:firstLine="964" w:firstLineChars="300"/>
        <w:jc w:val="left"/>
        <w:rPr>
          <w:rFonts w:ascii="宋体" w:hAnsi="宋体" w:cs="宋体"/>
          <w:b/>
          <w:kern w:val="0"/>
          <w:sz w:val="32"/>
          <w:szCs w:val="32"/>
          <w:u w:val="single"/>
        </w:rPr>
      </w:pPr>
      <w:r>
        <w:rPr>
          <w:rFonts w:hint="eastAsia" w:ascii="宋体" w:hAnsi="宋体" w:cs="宋体"/>
          <w:b/>
          <w:kern w:val="0"/>
          <w:sz w:val="32"/>
          <w:szCs w:val="32"/>
        </w:rPr>
        <w:t>甲方：</w:t>
      </w:r>
      <w:r>
        <w:rPr>
          <w:rFonts w:hint="eastAsia" w:ascii="宋体" w:hAnsi="宋体" w:cs="宋体"/>
          <w:b/>
          <w:kern w:val="0"/>
          <w:sz w:val="32"/>
          <w:szCs w:val="32"/>
          <w:u w:val="single"/>
        </w:rPr>
        <w:t xml:space="preserve">                              </w:t>
      </w:r>
    </w:p>
    <w:p w14:paraId="1304EE39">
      <w:pPr>
        <w:spacing w:line="360" w:lineRule="auto"/>
        <w:ind w:firstLine="964" w:firstLineChars="300"/>
        <w:jc w:val="left"/>
        <w:rPr>
          <w:rFonts w:ascii="宋体" w:hAnsi="宋体" w:cs="宋体"/>
          <w:b/>
          <w:kern w:val="0"/>
          <w:sz w:val="32"/>
          <w:szCs w:val="32"/>
        </w:rPr>
      </w:pPr>
      <w:r>
        <w:rPr>
          <w:rFonts w:hint="eastAsia" w:ascii="宋体" w:hAnsi="宋体" w:cs="宋体"/>
          <w:b/>
          <w:kern w:val="0"/>
          <w:sz w:val="32"/>
          <w:szCs w:val="32"/>
        </w:rPr>
        <w:t>乙方：</w:t>
      </w:r>
      <w:r>
        <w:rPr>
          <w:rFonts w:hint="eastAsia" w:ascii="宋体" w:hAnsi="宋体" w:cs="宋体"/>
          <w:b/>
          <w:kern w:val="0"/>
          <w:sz w:val="32"/>
          <w:szCs w:val="32"/>
          <w:u w:val="single"/>
        </w:rPr>
        <w:t xml:space="preserve">                              </w:t>
      </w:r>
    </w:p>
    <w:p w14:paraId="26685FC1">
      <w:pPr>
        <w:spacing w:line="360" w:lineRule="auto"/>
        <w:jc w:val="center"/>
        <w:rPr>
          <w:rFonts w:ascii="宋体" w:hAnsi="宋体" w:cs="宋体"/>
          <w:b/>
          <w:kern w:val="0"/>
          <w:sz w:val="32"/>
          <w:szCs w:val="32"/>
        </w:rPr>
      </w:pPr>
      <w:r>
        <w:rPr>
          <w:rFonts w:hint="eastAsia" w:ascii="宋体" w:hAnsi="宋体" w:cs="宋体"/>
          <w:b/>
          <w:kern w:val="0"/>
          <w:sz w:val="32"/>
          <w:szCs w:val="32"/>
        </w:rPr>
        <w:t>二〇二</w:t>
      </w:r>
      <w:r>
        <w:rPr>
          <w:rFonts w:hint="eastAsia" w:ascii="宋体" w:hAnsi="宋体" w:cs="宋体"/>
          <w:b/>
          <w:kern w:val="0"/>
          <w:sz w:val="32"/>
          <w:szCs w:val="32"/>
          <w:lang w:val="en-US" w:eastAsia="zh-CN"/>
        </w:rPr>
        <w:t>六</w:t>
      </w:r>
      <w:r>
        <w:rPr>
          <w:rFonts w:hint="eastAsia" w:ascii="宋体" w:hAnsi="宋体" w:cs="宋体"/>
          <w:b/>
          <w:kern w:val="0"/>
          <w:sz w:val="32"/>
          <w:szCs w:val="32"/>
        </w:rPr>
        <w:t>年</w:t>
      </w:r>
      <w:r>
        <w:rPr>
          <w:rFonts w:hint="eastAsia" w:ascii="宋体" w:hAnsi="宋体" w:cs="宋体"/>
          <w:b/>
          <w:kern w:val="0"/>
          <w:sz w:val="32"/>
          <w:szCs w:val="32"/>
          <w:u w:val="single"/>
        </w:rPr>
        <w:t xml:space="preserve">   </w:t>
      </w:r>
      <w:r>
        <w:rPr>
          <w:rFonts w:hint="eastAsia" w:ascii="宋体" w:hAnsi="宋体" w:cs="宋体"/>
          <w:b/>
          <w:kern w:val="0"/>
          <w:sz w:val="32"/>
          <w:szCs w:val="32"/>
        </w:rPr>
        <w:t>月</w:t>
      </w:r>
    </w:p>
    <w:p w14:paraId="57C9F569">
      <w:pPr>
        <w:jc w:val="center"/>
        <w:rPr>
          <w:rFonts w:ascii="宋体" w:hAnsi="宋体" w:eastAsia="宋体" w:cs="宋体"/>
        </w:rPr>
      </w:pPr>
    </w:p>
    <w:p w14:paraId="2A6D5D99">
      <w:pPr>
        <w:pStyle w:val="4"/>
        <w:jc w:val="center"/>
        <w:rPr>
          <w:rFonts w:ascii="宋体" w:hAnsi="宋体" w:eastAsia="宋体" w:cs="宋体"/>
        </w:rPr>
        <w:sectPr>
          <w:pgSz w:w="11906" w:h="16838"/>
          <w:pgMar w:top="1440" w:right="1576" w:bottom="1440" w:left="1576" w:header="851" w:footer="992" w:gutter="0"/>
          <w:pgNumType w:fmt="decimal"/>
          <w:cols w:space="425" w:num="1"/>
          <w:docGrid w:type="lines" w:linePitch="312" w:charSpace="0"/>
        </w:sectPr>
      </w:pPr>
    </w:p>
    <w:p w14:paraId="0A1CF474">
      <w:pPr>
        <w:autoSpaceDE w:val="0"/>
        <w:autoSpaceDN w:val="0"/>
        <w:adjustRightInd w:val="0"/>
        <w:snapToGrid w:val="0"/>
        <w:spacing w:line="360" w:lineRule="auto"/>
        <w:ind w:firstLine="480" w:firstLineChars="200"/>
        <w:rPr>
          <w:rFonts w:ascii="宋体" w:hAnsi="宋体" w:eastAsia="宋体" w:cs="宋体"/>
          <w:bCs/>
          <w:sz w:val="24"/>
          <w:szCs w:val="24"/>
        </w:rPr>
      </w:pPr>
    </w:p>
    <w:p w14:paraId="7665D88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甲方（采购人）：</w:t>
      </w:r>
      <w:r>
        <w:rPr>
          <w:rFonts w:hint="eastAsia" w:ascii="宋体" w:hAnsi="宋体" w:eastAsia="宋体" w:cs="宋体"/>
          <w:bCs/>
          <w:sz w:val="24"/>
          <w:szCs w:val="24"/>
          <w:u w:val="single"/>
        </w:rPr>
        <w:t xml:space="preserve">                                  </w:t>
      </w:r>
    </w:p>
    <w:p w14:paraId="6F15B53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乙方（供应商）：</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6ACB1BA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依据《中华人民共和国民法典》和《中华人民共和国政府采购法》，经双方在平等、自愿、互利的基础上，签订本合同，共同信守。</w:t>
      </w:r>
    </w:p>
    <w:p w14:paraId="01C866A2">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一、项目概况</w:t>
      </w:r>
    </w:p>
    <w:p w14:paraId="7EA353A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p>
    <w:p w14:paraId="4150527D">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2.合同履</w:t>
      </w:r>
      <w:r>
        <w:rPr>
          <w:rFonts w:hint="eastAsia" w:ascii="宋体" w:hAnsi="宋体" w:eastAsia="宋体" w:cs="宋体"/>
          <w:sz w:val="24"/>
          <w:szCs w:val="24"/>
          <w:lang w:eastAsia="zh-CN"/>
        </w:rPr>
        <w:t>行</w:t>
      </w:r>
      <w:r>
        <w:rPr>
          <w:rFonts w:hint="eastAsia" w:ascii="宋体" w:hAnsi="宋体" w:eastAsia="宋体" w:cs="宋体"/>
          <w:sz w:val="24"/>
          <w:szCs w:val="24"/>
        </w:rPr>
        <w:t>期限：</w:t>
      </w:r>
      <w:r>
        <w:rPr>
          <w:rFonts w:hint="eastAsia" w:ascii="宋体" w:hAnsi="宋体" w:eastAsia="宋体" w:cs="宋体"/>
          <w:bCs/>
          <w:sz w:val="24"/>
          <w:szCs w:val="24"/>
          <w:u w:val="single"/>
        </w:rPr>
        <w:t xml:space="preserve">                                    </w:t>
      </w:r>
    </w:p>
    <w:p w14:paraId="27F9BD50">
      <w:pPr>
        <w:keepNext w:val="0"/>
        <w:keepLines w:val="0"/>
        <w:pageBreakBefore w:val="0"/>
        <w:widowControl w:val="0"/>
        <w:tabs>
          <w:tab w:val="center" w:pos="4140"/>
          <w:tab w:val="right" w:pos="8300"/>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3.项目地点：</w:t>
      </w:r>
      <w:r>
        <w:rPr>
          <w:rFonts w:hint="eastAsia" w:ascii="宋体" w:hAnsi="宋体" w:eastAsia="宋体" w:cs="宋体"/>
          <w:sz w:val="24"/>
          <w:szCs w:val="24"/>
          <w:u w:val="single"/>
        </w:rPr>
        <w:t xml:space="preserve">                                        </w:t>
      </w:r>
    </w:p>
    <w:p w14:paraId="2F5BAD24">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二、合同价款</w:t>
      </w:r>
    </w:p>
    <w:p w14:paraId="42EE44B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（一）</w:t>
      </w:r>
      <w:r>
        <w:rPr>
          <w:rFonts w:hint="eastAsia" w:ascii="宋体" w:hAnsi="宋体" w:eastAsia="宋体" w:cs="宋体"/>
          <w:bCs/>
          <w:sz w:val="24"/>
          <w:szCs w:val="24"/>
        </w:rPr>
        <w:t>合同价款为人民币（大写）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3D238D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（二）</w:t>
      </w:r>
      <w:r>
        <w:rPr>
          <w:rFonts w:hint="eastAsia" w:ascii="宋体" w:hAnsi="宋体" w:eastAsia="宋体" w:cs="宋体"/>
          <w:bCs/>
          <w:sz w:val="24"/>
          <w:szCs w:val="24"/>
        </w:rPr>
        <w:t>固定总价合同，固定</w:t>
      </w:r>
      <w:r>
        <w:rPr>
          <w:rFonts w:hint="eastAsia" w:ascii="宋体" w:hAnsi="宋体" w:eastAsia="宋体" w:cs="宋体"/>
          <w:sz w:val="24"/>
          <w:szCs w:val="24"/>
        </w:rPr>
        <w:t>总价合同是指本次</w:t>
      </w:r>
      <w:r>
        <w:rPr>
          <w:rFonts w:hint="eastAsia" w:ascii="宋体" w:hAnsi="宋体" w:eastAsia="宋体" w:cs="宋体"/>
          <w:sz w:val="24"/>
          <w:szCs w:val="24"/>
          <w:lang w:val="zh-CN"/>
        </w:rPr>
        <w:t>服务内容所需的全部费用,</w:t>
      </w:r>
      <w:r>
        <w:rPr>
          <w:rFonts w:hint="eastAsia" w:ascii="宋体" w:hAnsi="宋体" w:eastAsia="宋体" w:cs="宋体"/>
          <w:sz w:val="24"/>
          <w:szCs w:val="24"/>
        </w:rPr>
        <w:t>包括但不限于</w:t>
      </w:r>
      <w:r>
        <w:rPr>
          <w:rFonts w:hint="eastAsia" w:ascii="宋体" w:hAnsi="宋体" w:eastAsia="宋体" w:cs="宋体"/>
          <w:sz w:val="24"/>
          <w:szCs w:val="24"/>
          <w:lang w:val="zh-CN"/>
        </w:rPr>
        <w:t>管理费、利润、风险、各种税金等一切费用</w:t>
      </w:r>
      <w:r>
        <w:rPr>
          <w:rFonts w:hint="eastAsia" w:ascii="宋体" w:hAnsi="宋体" w:eastAsia="宋体" w:cs="宋体"/>
          <w:bCs/>
          <w:sz w:val="24"/>
          <w:szCs w:val="24"/>
        </w:rPr>
        <w:t>。</w:t>
      </w:r>
    </w:p>
    <w:p w14:paraId="62CE34F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rPr>
        <w:t>（三）合同价款一次性包死，不受市场价格变化因素的影响。</w:t>
      </w:r>
    </w:p>
    <w:p w14:paraId="127301E9">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三、款项结算</w:t>
      </w:r>
    </w:p>
    <w:p w14:paraId="5D48D3D8">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（一）支付方式：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3594729">
      <w:pPr>
        <w:keepNext w:val="0"/>
        <w:keepLines w:val="0"/>
        <w:pageBreakBefore w:val="0"/>
        <w:widowControl w:val="0"/>
        <w:tabs>
          <w:tab w:val="left" w:pos="903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（二）结算方式：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01E6843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（三）结算单位：</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23E5200">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四、内容及要求</w:t>
      </w:r>
    </w:p>
    <w:p w14:paraId="203FCA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 xml:space="preserve">即交付的服务内容与响应文件、磋商文件等所指明的，或者与本合同所指明的服务内容相一致。（附清单） </w:t>
      </w:r>
    </w:p>
    <w:p w14:paraId="16B28A75">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五、双方的权利和义务</w:t>
      </w:r>
    </w:p>
    <w:p w14:paraId="2107DCD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（一）甲方的权利与义务</w:t>
      </w:r>
    </w:p>
    <w:p w14:paraId="5819993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（1）甲方负责配合本次项目服务工作；（2）甲方应按本合同的约定向乙方支付合同价款；（3）甲方有权对乙方的工作进行监督和考核；（4）甲方安排的有利于本项目实施的其他事项。</w:t>
      </w:r>
    </w:p>
    <w:p w14:paraId="12B04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（二）乙方的权利与义务</w:t>
      </w:r>
    </w:p>
    <w:p w14:paraId="41277AB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（1）乙方的工作人员必须严格遵守甲方的规章制度，以</w:t>
      </w:r>
      <w:bookmarkStart w:id="0" w:name="_GoBack"/>
      <w:bookmarkEnd w:id="0"/>
      <w:r>
        <w:rPr>
          <w:rFonts w:hint="eastAsia" w:ascii="宋体" w:hAnsi="宋体" w:eastAsia="宋体" w:cs="宋体"/>
          <w:bCs/>
          <w:sz w:val="24"/>
          <w:szCs w:val="24"/>
        </w:rPr>
        <w:t>良好的形象和积极的工作态度，按甲方要求开展工作；（2）乙方应服从甲方统筹管理并按流程开展工作；（3）乙方保证安排的相关人员需按照指定时间到达指定地点进行服务，乙方在活动时间内不得迟到早退，如有特殊情况，必须事先通知并征得甲方同意；（4）乙方提交的方案等应得到甲方确认再予以实施；（5）乙方在服务期间发布的任何涉及有关甲方的相关信息，需经甲方确认无误后方可发布；（6）乙方负责解决所需要的工作条件及相应的工作配合，甲方有义务提供必要的便利条件。</w:t>
      </w:r>
    </w:p>
    <w:p w14:paraId="2178FB67">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六、服务质量保证</w:t>
      </w:r>
    </w:p>
    <w:p w14:paraId="36F9D91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（一）乙方需派一名项目负责人，直接与甲方沟通，项目负责人接收甲方提出的问题与要求，并及时反馈给工作组，解决在项目实施过程中遇到的问题。</w:t>
      </w:r>
    </w:p>
    <w:p w14:paraId="176B4E7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（二）项目在实施过程中会出现不可预料的需求变更，乙方需积极配合甲方的需求变更，并按照变更后的需求继续进行方案实施。</w:t>
      </w:r>
    </w:p>
    <w:p w14:paraId="6327F5F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（三）乙方需提交所有实施方案流程及说明文档。</w:t>
      </w:r>
    </w:p>
    <w:p w14:paraId="12D6E3B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（四）乙方需建立高效的服务团队，项目团队组成合理。</w:t>
      </w:r>
    </w:p>
    <w:p w14:paraId="4700526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bCs/>
          <w:sz w:val="24"/>
          <w:szCs w:val="24"/>
        </w:rPr>
        <w:t>（五）乙方需设有详细的技术资料档案和服务档案，将保存项目的详细资料以便于更好地提供服务。</w:t>
      </w:r>
    </w:p>
    <w:p w14:paraId="1EC82623">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七、知识产权</w:t>
      </w:r>
    </w:p>
    <w:p w14:paraId="60896F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（一）本项目知识产权归乙方所有。</w:t>
      </w:r>
    </w:p>
    <w:p w14:paraId="4D166E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130766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（三）乙方为执行本合同而提供的技术资料使用权归甲方所有。</w:t>
      </w:r>
    </w:p>
    <w:p w14:paraId="393953C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八、保密规定</w:t>
      </w:r>
    </w:p>
    <w:p w14:paraId="40A4895F">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13E099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九、其他事项</w:t>
      </w:r>
    </w:p>
    <w:p w14:paraId="338088F7">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（一）合同执行中发生争议的，当事人双方应协商解决，协商达不成一致时，双方同意向采购人所在地仲裁委员会申请仲裁或向采购人所在地人民法院提请诉讼。   </w:t>
      </w:r>
    </w:p>
    <w:p w14:paraId="201AE976">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十、验收</w:t>
      </w:r>
    </w:p>
    <w:p w14:paraId="52250B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（一）本项目验收费用，由乙方自行承担。</w:t>
      </w:r>
    </w:p>
    <w:p w14:paraId="2E34E1F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（二）项目建设完成后，成交供应商应配合采购人进行项目验收工作，并按照采购人要求提供验收资料。（必要时采购人可委托具有相关资质的第三方检测机构/技术专家对本次服务进行系统验收）。</w:t>
      </w:r>
    </w:p>
    <w:p w14:paraId="75D1352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（三）验收依据：</w:t>
      </w:r>
    </w:p>
    <w:p w14:paraId="44B310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1.本合同及附加文本；</w:t>
      </w:r>
    </w:p>
    <w:p w14:paraId="2368C5A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2.磋商文件、响应文件等；</w:t>
      </w:r>
    </w:p>
    <w:p w14:paraId="4324613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3.国家相应的标准、规范；</w:t>
      </w:r>
    </w:p>
    <w:p w14:paraId="2B08C11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4.甲方规定的相关项目资料。</w:t>
      </w:r>
    </w:p>
    <w:p w14:paraId="513124E2">
      <w:pPr>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十一、违约责任</w:t>
      </w:r>
    </w:p>
    <w:p w14:paraId="44DCA0C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（一）按《</w:t>
      </w:r>
      <w:r>
        <w:rPr>
          <w:rFonts w:hint="eastAsia" w:ascii="宋体" w:hAnsi="宋体" w:eastAsia="宋体" w:cs="宋体"/>
          <w:bCs/>
          <w:sz w:val="24"/>
          <w:szCs w:val="24"/>
        </w:rPr>
        <w:t>中华人民共和国民法典</w:t>
      </w:r>
      <w:r>
        <w:rPr>
          <w:rFonts w:hint="eastAsia" w:ascii="宋体" w:hAnsi="宋体" w:eastAsia="宋体" w:cs="宋体"/>
          <w:sz w:val="24"/>
          <w:szCs w:val="24"/>
        </w:rPr>
        <w:t>》中的相关条款执行。</w:t>
      </w:r>
    </w:p>
    <w:p w14:paraId="7AF7D3E6">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（二）未按合同要求提供服务或服务质量不能满足本次采购要求，采购人会同监督机构、采购代理机构有权终止合同和对中标供应商违约行为进行追究，同时按政府采购法的有关规定进行相应的处罚。</w:t>
      </w:r>
    </w:p>
    <w:p w14:paraId="7EF297DE">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十二、合同生效</w:t>
      </w:r>
    </w:p>
    <w:p w14:paraId="0A1E456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（一）本合同须经甲、乙双方的法定代表人（被授权代表）在合同书上签字并加盖本单位公章后正式生效。</w:t>
      </w:r>
    </w:p>
    <w:p w14:paraId="17F25C7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w:t>
      </w:r>
      <w:r>
        <w:rPr>
          <w:rFonts w:hint="eastAsia" w:ascii="宋体" w:hAnsi="宋体" w:eastAsia="宋体" w:cs="宋体"/>
          <w:bCs/>
          <w:sz w:val="24"/>
          <w:szCs w:val="24"/>
        </w:rPr>
        <w:t>中华人民共和国民法典</w:t>
      </w:r>
      <w:r>
        <w:rPr>
          <w:rFonts w:hint="eastAsia" w:ascii="宋体" w:hAnsi="宋体" w:eastAsia="宋体" w:cs="宋体"/>
          <w:sz w:val="24"/>
          <w:szCs w:val="24"/>
        </w:rPr>
        <w:t>》的有关规定承担相应责任。</w:t>
      </w:r>
    </w:p>
    <w:p w14:paraId="1F6E59A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tbl>
      <w:tblPr>
        <w:tblStyle w:val="5"/>
        <w:tblpPr w:leftFromText="180" w:rightFromText="180" w:vertAnchor="text" w:horzAnchor="page" w:tblpX="1870" w:tblpY="737"/>
        <w:tblOverlap w:val="never"/>
        <w:tblW w:w="0" w:type="auto"/>
        <w:tblInd w:w="0" w:type="dxa"/>
        <w:tblLayout w:type="fixed"/>
        <w:tblCellMar>
          <w:top w:w="0" w:type="dxa"/>
          <w:left w:w="108" w:type="dxa"/>
          <w:bottom w:w="0" w:type="dxa"/>
          <w:right w:w="108" w:type="dxa"/>
        </w:tblCellMar>
      </w:tblPr>
      <w:tblGrid>
        <w:gridCol w:w="4149"/>
        <w:gridCol w:w="4150"/>
      </w:tblGrid>
      <w:tr w14:paraId="04A2E03C">
        <w:tblPrEx>
          <w:tblCellMar>
            <w:top w:w="0" w:type="dxa"/>
            <w:left w:w="108" w:type="dxa"/>
            <w:bottom w:w="0" w:type="dxa"/>
            <w:right w:w="108" w:type="dxa"/>
          </w:tblCellMar>
        </w:tblPrEx>
        <w:trPr>
          <w:trHeight w:val="1045" w:hRule="exact"/>
        </w:trPr>
        <w:tc>
          <w:tcPr>
            <w:tcW w:w="4149" w:type="dxa"/>
            <w:vAlign w:val="center"/>
          </w:tcPr>
          <w:p w14:paraId="72EAC03D">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甲方（盖章）</w:t>
            </w:r>
            <w:r>
              <w:rPr>
                <w:rFonts w:hint="eastAsia" w:ascii="宋体" w:hAnsi="宋体" w:eastAsia="宋体" w:cs="宋体"/>
                <w:spacing w:val="-20"/>
                <w:kern w:val="0"/>
                <w:sz w:val="24"/>
                <w:szCs w:val="24"/>
                <w:u w:val="single"/>
              </w:rPr>
              <w:t xml:space="preserve">                     </w:t>
            </w:r>
          </w:p>
          <w:p w14:paraId="3F86F5E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 xml:space="preserve">地址： </w:t>
            </w:r>
            <w:r>
              <w:rPr>
                <w:rFonts w:hint="eastAsia" w:ascii="宋体" w:hAnsi="宋体" w:eastAsia="宋体" w:cs="宋体"/>
                <w:spacing w:val="-20"/>
                <w:kern w:val="0"/>
                <w:sz w:val="24"/>
                <w:szCs w:val="24"/>
                <w:u w:val="single"/>
              </w:rPr>
              <w:t xml:space="preserve">                           </w:t>
            </w:r>
          </w:p>
        </w:tc>
        <w:tc>
          <w:tcPr>
            <w:tcW w:w="4150" w:type="dxa"/>
            <w:vAlign w:val="center"/>
          </w:tcPr>
          <w:p w14:paraId="7DACEF44">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乙方（盖章）</w:t>
            </w:r>
            <w:r>
              <w:rPr>
                <w:rFonts w:hint="eastAsia" w:ascii="宋体" w:hAnsi="宋体" w:eastAsia="宋体" w:cs="宋体"/>
                <w:spacing w:val="-20"/>
                <w:kern w:val="0"/>
                <w:sz w:val="24"/>
                <w:szCs w:val="24"/>
                <w:u w:val="single"/>
              </w:rPr>
              <w:t xml:space="preserve">                    </w:t>
            </w:r>
          </w:p>
          <w:p w14:paraId="1695FA2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地址：</w:t>
            </w:r>
            <w:r>
              <w:rPr>
                <w:rFonts w:hint="eastAsia" w:ascii="宋体" w:hAnsi="宋体" w:eastAsia="宋体" w:cs="宋体"/>
                <w:spacing w:val="-20"/>
                <w:kern w:val="0"/>
                <w:sz w:val="24"/>
                <w:szCs w:val="24"/>
                <w:u w:val="single"/>
              </w:rPr>
              <w:t xml:space="preserve">                            </w:t>
            </w:r>
          </w:p>
        </w:tc>
      </w:tr>
      <w:tr w14:paraId="1992E84C">
        <w:tblPrEx>
          <w:tblCellMar>
            <w:top w:w="0" w:type="dxa"/>
            <w:left w:w="108" w:type="dxa"/>
            <w:bottom w:w="0" w:type="dxa"/>
            <w:right w:w="108" w:type="dxa"/>
          </w:tblCellMar>
        </w:tblPrEx>
        <w:trPr>
          <w:trHeight w:val="528" w:hRule="exact"/>
        </w:trPr>
        <w:tc>
          <w:tcPr>
            <w:tcW w:w="4149" w:type="dxa"/>
            <w:vAlign w:val="center"/>
          </w:tcPr>
          <w:p w14:paraId="1DFC63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c>
          <w:tcPr>
            <w:tcW w:w="4150" w:type="dxa"/>
            <w:vAlign w:val="center"/>
          </w:tcPr>
          <w:p w14:paraId="0452AF4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r>
      <w:tr w14:paraId="1B207F58">
        <w:tblPrEx>
          <w:tblCellMar>
            <w:top w:w="0" w:type="dxa"/>
            <w:left w:w="108" w:type="dxa"/>
            <w:bottom w:w="0" w:type="dxa"/>
            <w:right w:w="108" w:type="dxa"/>
          </w:tblCellMar>
        </w:tblPrEx>
        <w:trPr>
          <w:trHeight w:val="528" w:hRule="exact"/>
        </w:trPr>
        <w:tc>
          <w:tcPr>
            <w:tcW w:w="4149" w:type="dxa"/>
            <w:vAlign w:val="center"/>
          </w:tcPr>
          <w:p w14:paraId="2F93BBC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r>
              <w:rPr>
                <w:rFonts w:hint="eastAsia" w:ascii="宋体" w:hAnsi="宋体" w:eastAsia="宋体" w:cs="宋体"/>
                <w:spacing w:val="-20"/>
                <w:kern w:val="0"/>
                <w:sz w:val="24"/>
                <w:szCs w:val="24"/>
              </w:rPr>
              <w:t xml:space="preserve"> </w:t>
            </w:r>
          </w:p>
        </w:tc>
        <w:tc>
          <w:tcPr>
            <w:tcW w:w="4150" w:type="dxa"/>
            <w:vAlign w:val="center"/>
          </w:tcPr>
          <w:p w14:paraId="27F2F891">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p>
        </w:tc>
      </w:tr>
      <w:tr w14:paraId="53932DD1">
        <w:tblPrEx>
          <w:tblCellMar>
            <w:top w:w="0" w:type="dxa"/>
            <w:left w:w="108" w:type="dxa"/>
            <w:bottom w:w="0" w:type="dxa"/>
            <w:right w:w="108" w:type="dxa"/>
          </w:tblCellMar>
        </w:tblPrEx>
        <w:trPr>
          <w:trHeight w:val="528" w:hRule="exact"/>
        </w:trPr>
        <w:tc>
          <w:tcPr>
            <w:tcW w:w="4149" w:type="dxa"/>
            <w:vAlign w:val="center"/>
          </w:tcPr>
          <w:p w14:paraId="4F5A805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c>
          <w:tcPr>
            <w:tcW w:w="4150" w:type="dxa"/>
            <w:vAlign w:val="center"/>
          </w:tcPr>
          <w:p w14:paraId="080B0BE2">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r>
      <w:tr w14:paraId="60CA1647">
        <w:tblPrEx>
          <w:tblCellMar>
            <w:top w:w="0" w:type="dxa"/>
            <w:left w:w="108" w:type="dxa"/>
            <w:bottom w:w="0" w:type="dxa"/>
            <w:right w:w="108" w:type="dxa"/>
          </w:tblCellMar>
        </w:tblPrEx>
        <w:trPr>
          <w:trHeight w:val="528" w:hRule="exact"/>
        </w:trPr>
        <w:tc>
          <w:tcPr>
            <w:tcW w:w="4149" w:type="dxa"/>
            <w:vAlign w:val="center"/>
          </w:tcPr>
          <w:p w14:paraId="30D4DF7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c>
          <w:tcPr>
            <w:tcW w:w="4150" w:type="dxa"/>
            <w:vAlign w:val="center"/>
          </w:tcPr>
          <w:p w14:paraId="4905C3CE">
            <w:pPr>
              <w:autoSpaceDE w:val="0"/>
              <w:autoSpaceDN w:val="0"/>
              <w:snapToGrid w:val="0"/>
              <w:spacing w:line="360" w:lineRule="auto"/>
              <w:ind w:left="600" w:hanging="600" w:hangingChars="300"/>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r>
      <w:tr w14:paraId="111F32EB">
        <w:tblPrEx>
          <w:tblCellMar>
            <w:top w:w="0" w:type="dxa"/>
            <w:left w:w="108" w:type="dxa"/>
            <w:bottom w:w="0" w:type="dxa"/>
            <w:right w:w="108" w:type="dxa"/>
          </w:tblCellMar>
        </w:tblPrEx>
        <w:trPr>
          <w:trHeight w:val="528" w:hRule="exact"/>
        </w:trPr>
        <w:tc>
          <w:tcPr>
            <w:tcW w:w="4149" w:type="dxa"/>
            <w:vAlign w:val="center"/>
          </w:tcPr>
          <w:p w14:paraId="68E962F3">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c>
          <w:tcPr>
            <w:tcW w:w="4150" w:type="dxa"/>
            <w:vAlign w:val="center"/>
          </w:tcPr>
          <w:p w14:paraId="18FE12AE">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r>
      <w:tr w14:paraId="6102F97E">
        <w:tblPrEx>
          <w:tblCellMar>
            <w:top w:w="0" w:type="dxa"/>
            <w:left w:w="108" w:type="dxa"/>
            <w:bottom w:w="0" w:type="dxa"/>
            <w:right w:w="108" w:type="dxa"/>
          </w:tblCellMar>
        </w:tblPrEx>
        <w:trPr>
          <w:trHeight w:val="528" w:hRule="exact"/>
        </w:trPr>
        <w:tc>
          <w:tcPr>
            <w:tcW w:w="4149" w:type="dxa"/>
            <w:vAlign w:val="center"/>
          </w:tcPr>
          <w:p w14:paraId="627D47E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c>
          <w:tcPr>
            <w:tcW w:w="4150" w:type="dxa"/>
            <w:vAlign w:val="center"/>
          </w:tcPr>
          <w:p w14:paraId="02FEA139">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r>
      <w:tr w14:paraId="3B69E2A8">
        <w:tblPrEx>
          <w:tblCellMar>
            <w:top w:w="0" w:type="dxa"/>
            <w:left w:w="108" w:type="dxa"/>
            <w:bottom w:w="0" w:type="dxa"/>
            <w:right w:w="108" w:type="dxa"/>
          </w:tblCellMar>
        </w:tblPrEx>
        <w:trPr>
          <w:trHeight w:val="528" w:hRule="exact"/>
        </w:trPr>
        <w:tc>
          <w:tcPr>
            <w:tcW w:w="4149" w:type="dxa"/>
            <w:vAlign w:val="center"/>
          </w:tcPr>
          <w:p w14:paraId="25C4CEF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c>
          <w:tcPr>
            <w:tcW w:w="4150" w:type="dxa"/>
            <w:vAlign w:val="center"/>
          </w:tcPr>
          <w:p w14:paraId="68B6EA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r>
    </w:tbl>
    <w:p w14:paraId="47AF85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095D3636"/>
    <w:rsid w:val="10575AEF"/>
    <w:rsid w:val="2283002B"/>
    <w:rsid w:val="2AED4D95"/>
    <w:rsid w:val="7D385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outlineLvl w:val="0"/>
    </w:pPr>
    <w:rPr>
      <w:rFonts w:cstheme="majorBidi"/>
      <w:b/>
      <w:bCs/>
      <w:sz w:val="32"/>
      <w:szCs w:val="32"/>
    </w:r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1735</Words>
  <Characters>1742</Characters>
  <Lines>0</Lines>
  <Paragraphs>0</Paragraphs>
  <TotalTime>1</TotalTime>
  <ScaleCrop>false</ScaleCrop>
  <LinksUpToDate>false</LinksUpToDate>
  <CharactersWithSpaces>2575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2026-03-03T06:48:03Z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ED2C86BBC3F14BB88D363C4EAE3863AE_11</vt:lpwstr>
  </property>
  <property fmtid="{D5CDD505-2E9C-101B-9397-08002B2CF9AE}" pid="4" name="KSOTemplateDocerSaveRecord">
    <vt:lpwstr>eyJoZGlkIjoiOTE2ODUxZTQ2ZWVlNzNhMDhmZjdkZjBiZWIwODUxN2IiLCJ1c2VySWQiOiIyNzk1NDI0NDcifQ==</vt:lpwstr>
  </property>
</Properties>
</file>