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版本号：TRHC2026-ZB-GC-01020260304001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渭南市华州区子仪广场修复改造工程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TRHC2026-ZB-GC-010</w:t>
      </w:r>
      <w:r>
        <w:br/>
      </w:r>
      <w:r>
        <w:br/>
      </w:r>
      <w:r>
        <w:br/>
      </w:r>
    </w:p>
    <w:p>
      <w:pPr>
        <w:pStyle w:val="null3"/>
        <w:jc w:val="center"/>
        <w:outlineLvl w:val="2"/>
      </w:pPr>
      <w:r>
        <w:rPr>
          <w:rFonts w:ascii="仿宋_GB2312" w:hAnsi="仿宋_GB2312" w:cs="仿宋_GB2312" w:eastAsia="仿宋_GB2312"/>
          <w:sz w:val="28"/>
          <w:b/>
        </w:rPr>
        <w:t>渭南市华州区城市管理执法局</w:t>
      </w:r>
    </w:p>
    <w:p>
      <w:pPr>
        <w:pStyle w:val="null3"/>
        <w:jc w:val="center"/>
        <w:outlineLvl w:val="2"/>
      </w:pPr>
      <w:r>
        <w:rPr>
          <w:rFonts w:ascii="仿宋_GB2312" w:hAnsi="仿宋_GB2312" w:cs="仿宋_GB2312" w:eastAsia="仿宋_GB2312"/>
          <w:sz w:val="28"/>
          <w:b/>
        </w:rPr>
        <w:t>陕西天润慧创项目咨询有限公司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陕西天润慧创项目咨询有限公司</w:t>
      </w:r>
      <w:r>
        <w:rPr>
          <w:rFonts w:ascii="仿宋_GB2312" w:hAnsi="仿宋_GB2312" w:cs="仿宋_GB2312" w:eastAsia="仿宋_GB2312"/>
        </w:rPr>
        <w:t>（以下简称“代理机构”）受</w:t>
      </w:r>
      <w:r>
        <w:rPr>
          <w:rFonts w:ascii="仿宋_GB2312" w:hAnsi="仿宋_GB2312" w:cs="仿宋_GB2312" w:eastAsia="仿宋_GB2312"/>
        </w:rPr>
        <w:t>渭南市华州区城市管理执法局</w:t>
      </w:r>
      <w:r>
        <w:rPr>
          <w:rFonts w:ascii="仿宋_GB2312" w:hAnsi="仿宋_GB2312" w:cs="仿宋_GB2312" w:eastAsia="仿宋_GB2312"/>
        </w:rPr>
        <w:t>委托，拟对</w:t>
      </w:r>
      <w:r>
        <w:rPr>
          <w:rFonts w:ascii="仿宋_GB2312" w:hAnsi="仿宋_GB2312" w:cs="仿宋_GB2312" w:eastAsia="仿宋_GB2312"/>
        </w:rPr>
        <w:t>渭南市华州区子仪广场修复改造工程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TRHC2026-ZB-GC-010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渭南市华州区子仪广场修复改造工程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人行道，羽毛球场，方格地砖局部，大理石踏步平台局部，水景区域地面，圆形桥，平桥，扶手栏杆，亭子，拱桥景墙等翻新，郑恒公雕像广场修复。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采购包1（渭南市华州区子仪广场修复改造工程）：属于专门面向中小企业采购。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2、供应商资质要求：供应商需具备建设行政主管部门颁发的市政公用工程施工总承包三级及以上资质，且具有有效的安全生产许可证</w:t>
      </w:r>
    </w:p>
    <w:p>
      <w:pPr>
        <w:pStyle w:val="null3"/>
      </w:pPr>
      <w:r>
        <w:rPr>
          <w:rFonts w:ascii="仿宋_GB2312" w:hAnsi="仿宋_GB2312" w:cs="仿宋_GB2312" w:eastAsia="仿宋_GB2312"/>
        </w:rPr>
        <w:t>3、拟派项目负责人资质和专业要求。：拟派项目经理须具备市政公用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子仪大街中段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渭南市华州区城市管理局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0913-2466781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陕西天润慧创项目咨询有限公司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西安市西安经济技术开发区凤城二路27号天心大厦14层1402室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童工、田工、周工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02986106855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渭南市华州区政府采购管理股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采购包1：1,327,300.00元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代理服务费收费标准：参照原国家计委计价格〔2002〕1980 号文和国家发改委发改办价格〔2003〕857 号文的计算方法收取中标单位的招标代理服务费，缴纳信息： 银行户名：陕西天润慧创项目咨询有限公司 开户银行：中国银行股份有限公司西安经济技术开发区支行 账 号：1037117403794 联系电话：029-86106855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渭南市华州区城市管理执法局</w:t>
      </w:r>
      <w:r>
        <w:rPr>
          <w:rFonts w:ascii="仿宋_GB2312" w:hAnsi="仿宋_GB2312" w:cs="仿宋_GB2312" w:eastAsia="仿宋_GB2312"/>
        </w:rPr>
        <w:t>和</w:t>
      </w:r>
      <w:r>
        <w:rPr>
          <w:rFonts w:ascii="仿宋_GB2312" w:hAnsi="仿宋_GB2312" w:cs="仿宋_GB2312" w:eastAsia="仿宋_GB2312"/>
        </w:rPr>
        <w:t>陕西天润慧创项目咨询有限公司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渭南市华州区城市管理执法局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陕西天润慧创项目咨询有限公司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陕西天润慧创项目咨询有限公司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陕西天润慧创项目咨询有限公司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陕西天润慧创项目咨询有限公司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陕西天润慧创项目咨询有限公司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联系人：童工、田工、周工</w:t>
      </w:r>
    </w:p>
    <w:p>
      <w:pPr>
        <w:pStyle w:val="null3"/>
      </w:pPr>
      <w:r>
        <w:rPr>
          <w:rFonts w:ascii="仿宋_GB2312" w:hAnsi="仿宋_GB2312" w:cs="仿宋_GB2312" w:eastAsia="仿宋_GB2312"/>
        </w:rPr>
        <w:t>联系电话：029-86106855</w:t>
      </w:r>
    </w:p>
    <w:p>
      <w:pPr>
        <w:pStyle w:val="null3"/>
      </w:pPr>
      <w:r>
        <w:rPr>
          <w:rFonts w:ascii="仿宋_GB2312" w:hAnsi="仿宋_GB2312" w:cs="仿宋_GB2312" w:eastAsia="仿宋_GB2312"/>
        </w:rPr>
        <w:t>地址：西安市西安经济技术开发区凤城二路27号天心大厦14层1402室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1,327,300.00</w:t>
      </w:r>
    </w:p>
    <w:p>
      <w:pPr>
        <w:pStyle w:val="null3"/>
      </w:pPr>
      <w:r>
        <w:rPr>
          <w:rFonts w:ascii="仿宋_GB2312" w:hAnsi="仿宋_GB2312" w:cs="仿宋_GB2312" w:eastAsia="仿宋_GB2312"/>
        </w:rPr>
        <w:t>采购包最高限价（元）: 1,327,285.35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渭南市华州区子仪广场修复改造工程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1,327,300.00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标的名称：渭南市华州区子仪广场修复改造工程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1"/>
                <w:b/>
              </w:rPr>
              <w:t>一、</w:t>
            </w:r>
            <w:r>
              <w:rPr>
                <w:rFonts w:ascii="仿宋_GB2312" w:hAnsi="仿宋_GB2312" w:cs="仿宋_GB2312" w:eastAsia="仿宋_GB2312"/>
                <w:sz w:val="21"/>
                <w:b/>
              </w:rPr>
              <w:t>编制依据</w:t>
            </w:r>
          </w:p>
          <w:p>
            <w:pPr>
              <w:pStyle w:val="null3"/>
              <w:ind w:firstLine="560"/>
              <w:jc w:val="left"/>
            </w:pPr>
            <w:r>
              <w:rPr>
                <w:rFonts w:ascii="仿宋_GB2312" w:hAnsi="仿宋_GB2312" w:cs="仿宋_GB2312" w:eastAsia="仿宋_GB2312"/>
                <w:sz w:val="21"/>
                <w:color w:val="000000"/>
              </w:rPr>
              <w:t>1、本项目全套施工图及图纸要求的各种标准图和规范；</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rPr>
              <w:t>《建设工程工程量清单计价标准》（DB 61/T5126-2025）《陕西省建设工程费用规则》(2025)《陕西省房屋建筑与装饰工程消耗量定额》(2025)、《陕西省市政工程消耗量定额》(2025)、《陕西省园林绿化工程消耗量定额》(2025)《陕西省建设工程施工机械台班费用定额》(2025)、《陕西省建设工程施工仪器仪表台班费用定额》(2025)；《陕西省房屋建筑与装饰工程基价表》(2025)、《陕西省市政工程基价表》(2025)、《陕西省园林绿化工程计价表》(2025)以及相关政策性文件。</w:t>
            </w:r>
          </w:p>
          <w:p>
            <w:pPr>
              <w:pStyle w:val="null3"/>
              <w:ind w:firstLine="560"/>
              <w:jc w:val="left"/>
            </w:pPr>
            <w:r>
              <w:rPr>
                <w:rFonts w:ascii="仿宋_GB2312" w:hAnsi="仿宋_GB2312" w:cs="仿宋_GB2312" w:eastAsia="仿宋_GB2312"/>
                <w:sz w:val="21"/>
                <w:color w:val="000000"/>
              </w:rPr>
              <w:t>3、广联达云计价平台</w:t>
            </w:r>
            <w:r>
              <w:rPr>
                <w:rFonts w:ascii="仿宋_GB2312" w:hAnsi="仿宋_GB2312" w:cs="仿宋_GB2312" w:eastAsia="仿宋_GB2312"/>
                <w:sz w:val="21"/>
              </w:rPr>
              <w:t>GCCP7.5000.23.2</w:t>
            </w:r>
            <w:r>
              <w:rPr>
                <w:rFonts w:ascii="仿宋_GB2312" w:hAnsi="仿宋_GB2312" w:cs="仿宋_GB2312" w:eastAsia="仿宋_GB2312"/>
                <w:sz w:val="21"/>
                <w:color w:val="000000"/>
              </w:rPr>
              <w:t>版本；</w:t>
            </w:r>
          </w:p>
          <w:p>
            <w:pPr>
              <w:pStyle w:val="null3"/>
              <w:ind w:firstLine="560"/>
              <w:jc w:val="left"/>
            </w:pPr>
            <w:r>
              <w:rPr>
                <w:rFonts w:ascii="仿宋_GB2312" w:hAnsi="仿宋_GB2312" w:cs="仿宋_GB2312" w:eastAsia="仿宋_GB2312"/>
                <w:sz w:val="21"/>
                <w:color w:val="000000"/>
              </w:rPr>
              <w:t>4、正常施工组织设计及施工方法；</w:t>
            </w:r>
          </w:p>
          <w:p>
            <w:pPr>
              <w:pStyle w:val="null3"/>
              <w:ind w:firstLine="560"/>
              <w:jc w:val="left"/>
            </w:pPr>
            <w:r>
              <w:rPr>
                <w:rFonts w:ascii="仿宋_GB2312" w:hAnsi="仿宋_GB2312" w:cs="仿宋_GB2312" w:eastAsia="仿宋_GB2312"/>
                <w:sz w:val="21"/>
                <w:color w:val="000000"/>
              </w:rPr>
              <w:t>5、施工图中采用的相关施工规范及验收规范；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2024年度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 3.提供具有履行合同所必需的设备和专业技术能力的承诺； 4.提供响应文件提交截止时间前一年内已缴纳的至少一个月的纳税证明或完税证明，纳税证明或完税证明上应有代收机构或税务机关的公章或业务专用章，依法免税的供应商应提供相应证明文件；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度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供应商需具备建设行政主管部门颁发的市政公用工程施工总承包三级及以上资质，且具有有效的安全生产许可证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拟派项目经理须具备市政公用工程专业二级及以上注册建造师执业资格且在本单位注册,具有有效的安全生产考核合格证,且未担任其他在建工程项目的项目经理(提供无在建承诺书)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项目管理机构组成表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资格证明文件.docx 施工组织设计.docx 响应文件封面 项目管理机构组成表 残疾人福利性单位声明函 报价函 技术和商务偏离表.docx 业绩证明材料.docx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技术和商务偏离表.docx 标的清单 响应函 施工组织设计.docx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满足本磋商文件中标注的实质性条款（工期、建设地点、质量保修期、支付方式、支付约定等）要求的。</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报价函 技术和商务偏离表.docx 标的清单 响应函 资格证明文件.docx 施工组织设计.docx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已标价工程量清单 中小企业声明函 资格证明文件.docx 施工组织设计.docx 响应文件封面 项目管理机构组成表 残疾人福利性单位声明函 报价函 技术和商务偏离表.docx 业绩证明材料.docx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②施工部署及措施③对项目主要及关键方案的表述④施工平面布置。方案合理完善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1.5分，方案缺漏项或只有标题没有实质性内容的每项扣3分，扣完为止。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整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1.5分，方案缺漏项或只有标题没有实质性内容的每项扣3分，扣完为止。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1.5分，方案缺漏项或只有标题没有实质性内容的每项扣3分，扣完为止。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新技术、新工艺、新材料、新设备应用</w:t>
            </w:r>
          </w:p>
        </w:tc>
        <w:tc>
          <w:tcPr>
            <w:tcW w:type="dxa" w:w="2492"/>
          </w:tcPr>
          <w:p>
            <w:pPr>
              <w:pStyle w:val="null3"/>
            </w:pPr>
            <w:r>
              <w:rPr>
                <w:rFonts w:ascii="仿宋_GB2312" w:hAnsi="仿宋_GB2312" w:cs="仿宋_GB2312" w:eastAsia="仿宋_GB2312"/>
              </w:rPr>
              <w:t>采用新技术、新工艺、新材料、新设备对提高质量、缩短工期、降低造价有积极影响。(提供得2分，不全面得1分，未提供得0分)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提供的服务承诺包含：①施工过程中的相关承诺②投入材料质量承诺③质量保修期服务承诺④服务响应时间⑤服务响应措施。服务承诺合理、可行的计10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供应商具有2023年1月1日至今（以合同签订时间为准）类似项目业绩，磋商文件中提供合同复印件加盖公章,每提供一个计2分，满分10分。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磋商报价为有效磋商报价。2、综合评分法中的价格分统一采用低价优先法计算，即满足采购文件要求且最后报价最低的供应商报价为投标基准价，其价格分为满分。其他供应商的价格分统一按照下列公式计算： 磋商报价得分=（磋商基准价/最终磋商报价）×20，超出最高限价的报价为无效报价。3、磋商报价不完整的不进入评标标准价的计算，本项得0分。4、磋商小组1/2以上成员认为某报价有低于成本价嫌疑的，为无效报价按废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