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版本号：RC2026-ZBLY-13-0420260407001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渭南市华州区太平湖体育公园健身设施提升改造项目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RC2026-ZBLY-13-04</w:t>
      </w:r>
      <w:r>
        <w:br/>
      </w:r>
      <w:r>
        <w:br/>
      </w:r>
      <w:r>
        <w:br/>
      </w:r>
    </w:p>
    <w:p>
      <w:pPr>
        <w:pStyle w:val="null3"/>
        <w:jc w:val="center"/>
        <w:outlineLvl w:val="2"/>
      </w:pPr>
      <w:r>
        <w:rPr>
          <w:rFonts w:ascii="仿宋_GB2312" w:hAnsi="仿宋_GB2312" w:cs="仿宋_GB2312" w:eastAsia="仿宋_GB2312"/>
          <w:sz w:val="28"/>
          <w:b/>
        </w:rPr>
        <w:t>渭南市华州区体育中心</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渭南市华州区体育中心</w:t>
      </w:r>
      <w:r>
        <w:rPr>
          <w:rFonts w:ascii="仿宋_GB2312" w:hAnsi="仿宋_GB2312" w:cs="仿宋_GB2312" w:eastAsia="仿宋_GB2312"/>
        </w:rPr>
        <w:t>委托，拟对</w:t>
      </w:r>
      <w:r>
        <w:rPr>
          <w:rFonts w:ascii="仿宋_GB2312" w:hAnsi="仿宋_GB2312" w:cs="仿宋_GB2312" w:eastAsia="仿宋_GB2312"/>
        </w:rPr>
        <w:t>渭南市华州区太平湖体育公园健身设施提升改造项目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RC2026-ZBLY-13-04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渭南市华州区太平湖体育公园健身设施提升改造项目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渭南市华州区太平湖体育公园篮球场及花砖铺装、混泥土铺装的破除；新做篮球场、乒乓球场、羽毛球场、健身器材场地、篮球场围网及更换路灯灯头等，具体以施工图纸及工程量清单为准。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采购包1（渭南市华州区太平湖体育公园健身设施提升改造项目）：属于专门面向中小企业采购。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复印件或法定代表人授权书及被授权人身份证复印件：供应商应授权合法的人员参加磋商全过程，其中法定代表人直接参加磋商的，须出具法人身份证复印件，并与营业执照上信息一致。法定代表人授权他人参加磋商的，须出具法定代表人授权书及被授权人身份证复印件；</w:t>
      </w:r>
    </w:p>
    <w:p>
      <w:pPr>
        <w:pStyle w:val="null3"/>
      </w:pPr>
      <w:r>
        <w:rPr>
          <w:rFonts w:ascii="仿宋_GB2312" w:hAnsi="仿宋_GB2312" w:cs="仿宋_GB2312" w:eastAsia="仿宋_GB2312"/>
        </w:rPr>
        <w:t>2、营业执照、事业单位法人证书、自然人身份证明：供应商为具有独立承担民事责任能力的法人或其他组织或自然人，并提供法人或者其他组织合法有效的营业执照等证明文件，事业单位应提供事业单位法人证书，自然人应提供身份证明文件；</w:t>
      </w:r>
    </w:p>
    <w:p>
      <w:pPr>
        <w:pStyle w:val="null3"/>
      </w:pPr>
      <w:r>
        <w:rPr>
          <w:rFonts w:ascii="仿宋_GB2312" w:hAnsi="仿宋_GB2312" w:cs="仿宋_GB2312" w:eastAsia="仿宋_GB2312"/>
        </w:rPr>
        <w:t>3、企业资质：供应商须具备建设行政主管部门颁发的市政公用工程施工总承包三级及以上资质，且具备有效的安全生产许可证；</w:t>
      </w:r>
    </w:p>
    <w:p>
      <w:pPr>
        <w:pStyle w:val="null3"/>
      </w:pPr>
      <w:r>
        <w:rPr>
          <w:rFonts w:ascii="仿宋_GB2312" w:hAnsi="仿宋_GB2312" w:cs="仿宋_GB2312" w:eastAsia="仿宋_GB2312"/>
        </w:rPr>
        <w:t>4、项目经理：拟派项目经理需具备市政公用工程专业二级及以上注册建造师执业资格，具有有效的安全生产考核合格证（B证），在本单位注册且无在建项目；</w:t>
      </w:r>
    </w:p>
    <w:p>
      <w:pPr>
        <w:pStyle w:val="null3"/>
      </w:pPr>
      <w:r>
        <w:rPr>
          <w:rFonts w:ascii="仿宋_GB2312" w:hAnsi="仿宋_GB2312" w:cs="仿宋_GB2312" w:eastAsia="仿宋_GB2312"/>
        </w:rPr>
        <w:t>5、财务会计制度的证明材料：关于财务会计制度的证明材料｛注：1.2024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三个月内其基本账户开户银行出具的资信证明（附基本存款账户信息）。｝以上两种方式供应商任选其一进行提供，供应商需在项目电子化交易系统中按要求上传相应证明文件并进行电子签章。</w:t>
      </w:r>
    </w:p>
    <w:p>
      <w:pPr>
        <w:pStyle w:val="null3"/>
      </w:pPr>
      <w:r>
        <w:rPr>
          <w:rFonts w:ascii="仿宋_GB2312" w:hAnsi="仿宋_GB2312" w:cs="仿宋_GB2312" w:eastAsia="仿宋_GB2312"/>
        </w:rPr>
        <w:t>6、税收缴纳证明：提供2025年6月至今任意时段已缴纳完税凭证或税务机关开具的完税证明（任意税种）；依法免税的应提供相关文件证明；</w:t>
      </w:r>
    </w:p>
    <w:p>
      <w:pPr>
        <w:pStyle w:val="null3"/>
      </w:pPr>
      <w:r>
        <w:rPr>
          <w:rFonts w:ascii="仿宋_GB2312" w:hAnsi="仿宋_GB2312" w:cs="仿宋_GB2312" w:eastAsia="仿宋_GB2312"/>
        </w:rPr>
        <w:t>7、社保缴纳证明：提供2025年6月至今任意时段已缴纳的社会保障资金缴存单据或社保机构开具的社会保险参保缴费情况证明；依法不需要缴纳社会保障资金的应提供相关文件证明；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8、具备履行合同所必需的设备和专业技术能力：具备履行合同所必需的设备和专业技术能力；</w:t>
      </w:r>
    </w:p>
    <w:p>
      <w:pPr>
        <w:pStyle w:val="null3"/>
      </w:pPr>
      <w:r>
        <w:rPr>
          <w:rFonts w:ascii="仿宋_GB2312" w:hAnsi="仿宋_GB2312" w:cs="仿宋_GB2312" w:eastAsia="仿宋_GB2312"/>
        </w:rPr>
        <w:t>9、参加政府采购活动前3年内，在经营活动中没有重大违法记录：参加政府采购活动前3年内，在经营活动中没有重大违法记录；</w:t>
      </w:r>
    </w:p>
    <w:p>
      <w:pPr>
        <w:pStyle w:val="null3"/>
      </w:pPr>
      <w:r>
        <w:rPr>
          <w:rFonts w:ascii="仿宋_GB2312" w:hAnsi="仿宋_GB2312" w:cs="仿宋_GB2312" w:eastAsia="仿宋_GB2312"/>
        </w:rPr>
        <w:t>10、供应商信用：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政府采购严重违法失信行为记录名单中的供应商参加本项目的采购活动；</w:t>
      </w:r>
    </w:p>
    <w:p>
      <w:pPr>
        <w:pStyle w:val="null3"/>
      </w:pPr>
      <w:r>
        <w:rPr>
          <w:rFonts w:ascii="仿宋_GB2312" w:hAnsi="仿宋_GB2312" w:cs="仿宋_GB2312" w:eastAsia="仿宋_GB2312"/>
        </w:rPr>
        <w:t>11、本项目不接受联合体投标：供应商应提供《非联合体投标声明》，视为独立投标。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渭南市华州区华州街道办丝巷路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0913-4733742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西安市雁塔区朱雀大街南段汇成天玺C座11层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029-88669622-801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采购包1：984,908.70元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开户名称：锐驰项目管理有限公司</w:t>
            </w:r>
          </w:p>
          <w:p>
            <w:pPr>
              <w:pStyle w:val="null3"/>
            </w:pPr>
            <w:r>
              <w:rPr>
                <w:rFonts w:ascii="仿宋_GB2312" w:hAnsi="仿宋_GB2312" w:cs="仿宋_GB2312" w:eastAsia="仿宋_GB2312"/>
              </w:rPr>
              <w:t>开户银行：民生银行长安路支行</w:t>
            </w:r>
          </w:p>
          <w:p>
            <w:pPr>
              <w:pStyle w:val="null3"/>
            </w:pPr>
            <w:r>
              <w:rPr>
                <w:rFonts w:ascii="仿宋_GB2312" w:hAnsi="仿宋_GB2312" w:cs="仿宋_GB2312" w:eastAsia="仿宋_GB2312"/>
              </w:rPr>
              <w:t>银行账号：699214731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颁发的《招标代理服务收费管理暂行办法》（计价格[2002]1980号）和国家发展委下发的《关于降低部分建设项目收费标准规范收费行为等有关问题的通知》[2011]534号文件规定的“工程”收费标准。 2.请将代理服务费汇至下列指定账户： 开户名称：锐驰项目管理有限公司 开 户 行：陕西秦农农村商业银行股份有限公司明德门支行 账 号：2701 0259 0120 1000 0349 43 汇款备注：项目名称（可简写）+代理服务费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渭南市华州区体育中心</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①《市政工程施工质量统一验收标准》等现行国家统一规范；②工程所在地建设主管部门的标准、规范；③工程所在地行业的标准、规范。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联系人：刘妍</w:t>
      </w:r>
    </w:p>
    <w:p>
      <w:pPr>
        <w:pStyle w:val="null3"/>
      </w:pPr>
      <w:r>
        <w:rPr>
          <w:rFonts w:ascii="仿宋_GB2312" w:hAnsi="仿宋_GB2312" w:cs="仿宋_GB2312" w:eastAsia="仿宋_GB2312"/>
        </w:rPr>
        <w:t>联系电话：029-88669622-801</w:t>
      </w:r>
    </w:p>
    <w:p>
      <w:pPr>
        <w:pStyle w:val="null3"/>
      </w:pPr>
      <w:r>
        <w:rPr>
          <w:rFonts w:ascii="仿宋_GB2312" w:hAnsi="仿宋_GB2312" w:cs="仿宋_GB2312" w:eastAsia="仿宋_GB2312"/>
        </w:rPr>
        <w:t>地址：西安市雁塔区朱雀大街南段汇成天玺C座11层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984,908.70</w:t>
      </w:r>
    </w:p>
    <w:p>
      <w:pPr>
        <w:pStyle w:val="null3"/>
      </w:pPr>
      <w:r>
        <w:rPr>
          <w:rFonts w:ascii="仿宋_GB2312" w:hAnsi="仿宋_GB2312" w:cs="仿宋_GB2312" w:eastAsia="仿宋_GB2312"/>
        </w:rPr>
        <w:t>采购包最高限价（元）: 984,908.70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渭南市华州区太平湖体育公园健身设施提升改造项目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984,908.70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标的名称：渭南市华州区太平湖体育公园健身设施提升改造项目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①《市政工程施工质量统一验收标准》等现行国家统一规范；②工程所在地建设主管部门的标准、规范；③工程所在地行业的标准、规范；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(一）工程内容：渭南市华州区太平湖体育公园篮球场及花砖铺装、混泥土铺装的破除；新做篮球场、乒乓球场、羽毛球场、健身器材 场地、篮球场围网及更换路灯灯头等，具体以施工图纸及工程量清单为准。（二）工程地点：渭南市华州区。 （三）计划工期：自进场之日起90个日历日 （四）缺陷责任期（与质保金的退还有关）：24个月。 （五）质量保修期：本工程整体质保期为2年，质量保修期自工程竣工验收合格之日起计算，分部分项工程质量保修期按《建设工程质量管理条例》及有关国家规定执行。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1.本项目产品有特殊要求的详见分部分项工程量清单。 2.供应商报价不允许超过最高限价。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1.2024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 选其一进行提供，供应商需在项目电子化交易系统中按要求上传相应证明文件并进行电子签章。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参与的供应商（联合体）工程的施工单位全部为符合政策要求的中型企业或小型、微型企业或监狱企业或残疾人福利性单位。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法人身份证复印件或法定代表人授权书及被授权人身份证复印件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他人参加磋商的，须出具法定代表人授权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营业执照、事业单位法人证书、自然人身份证明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供应商为具有独立承担民事责任能力的法人或其他组织或自然人，并提供法人或者其他组织合法有效的营业执照等证明文件，事业单位应提供事业单位法人证书，自然人应提供身份证明文件；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拟派项目经理需具备市政公用工程专业二级及以上注册建造师执业资格，具有有效的安全生产考核合格证（B证），在本单位注册且无在建项目；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财务会计制度的证明材料</w:t>
            </w:r>
          </w:p>
        </w:tc>
        <w:tc>
          <w:tcPr>
            <w:tcW w:type="dxa" w:w="3322"/>
          </w:tcPr>
          <w:p>
            <w:pPr>
              <w:pStyle w:val="null3"/>
            </w:pPr>
            <w:r>
              <w:rPr>
                <w:rFonts w:ascii="仿宋_GB2312" w:hAnsi="仿宋_GB2312" w:cs="仿宋_GB2312" w:eastAsia="仿宋_GB2312"/>
              </w:rPr>
              <w:t>关于财务会计制度的证明材料｛注：1.2024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三个月内其基本账户开户银行出具的资信证明（附基本存款账户信息）。｝以上两种方式供应商任选其一进行提供，供应商需在项目电子化交易系统中按要求上传相应证明文件并进行电子签章。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提供2025年6月至今任意时段已缴纳完税凭证或税务机关开具的完税证明（任意税种）；依法免税的应提供相关文件证明；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供应商应提供《非联合体投标声明》，视为独立投标。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强制优先采购产品承诺函 响应文件封面 供应商应提交的相关资格证明材料.docx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强制优先采购产品承诺函 响应文件封面 供应商应提交的相关资格证明材料.docx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强制优先采购产品承诺函 响应文件封面 供应商应提交的相关资格证明材料.docx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应满足磋商文件规定的工期和质量</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应满足磋商文件规定的磋商有效期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评审得分相同的，按照最后报价由低到高的顺序推荐。评审得分且最后报价相同的，按照评审因素的量化指标评审得分最高推荐。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供应商提供（2023年1月1日至今）类似项目业绩，每提供1个得1分，最高得4分； 评审依据：业绩证明以合同或中标通知书为准，须在文件中附合同的复印件（或扫描件）或中标通知书复印件（或扫描件）加盖单位公章。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拟派项目经理学历及业绩</w:t>
            </w:r>
          </w:p>
        </w:tc>
        <w:tc>
          <w:tcPr>
            <w:tcW w:type="dxa" w:w="2492"/>
          </w:tcPr>
          <w:p>
            <w:pPr>
              <w:pStyle w:val="null3"/>
            </w:pPr>
            <w:r>
              <w:rPr>
                <w:rFonts w:ascii="仿宋_GB2312" w:hAnsi="仿宋_GB2312" w:cs="仿宋_GB2312" w:eastAsia="仿宋_GB2312"/>
              </w:rPr>
              <w:t>1.拟派项目经理具备大专（含）及以上学历的得2分，其他情况不得分。 评审依据：以供应商提供的加盖公章的拟派项目经理学历证书的扫描件或复印件为准，提供多个学历或学位证书的，以最高学历为准，未提供的不得分。 2.供应商提供拟派项目经理自2023年1月1日至今已完成的类似项目的业绩证明材料(在该项目中担任项目经理一职)提供1项的得2分，未提供的不得分。 评审依据:类似业绩证明材料以合同为准。业绩时间以合同所体现的时间为准。缺少资料或未按照上述要求提供的，均按照0分计入。企业业绩和拟派项目经理业绩可重复计分。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拟派技术负责人具备中级及以上职称的得2分，没有不得分。 评审依据：以供应商提供的加盖公章的拟派技术负责人职称证书的扫描件或复印件为准，提供多个职称证书的，以最高职称为准，未提供的不得分。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有完善、针对性强、切实可行的实施方案。根据方案完整程度赋分，计 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劳动力安排合理妥当，时间安排合理满足施工需求。根据响应程度计0-6分。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有符合本项目工程的质量管理目标和质量管理制度、主要工序的质量技术保证措施和手段。措施是否完备齐全、先进、合理、切实可行。根据响应程度计0-6分。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工程进度计划与措施，安排科学合理符合本项目施工实际要求。根据响应程度计0-5分。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文明施工及环境保护管理措施</w:t>
            </w:r>
          </w:p>
        </w:tc>
        <w:tc>
          <w:tcPr>
            <w:tcW w:type="dxa" w:w="2492"/>
          </w:tcPr>
          <w:p>
            <w:pPr>
              <w:pStyle w:val="null3"/>
            </w:pPr>
            <w:r>
              <w:rPr>
                <w:rFonts w:ascii="仿宋_GB2312" w:hAnsi="仿宋_GB2312" w:cs="仿宋_GB2312" w:eastAsia="仿宋_GB2312"/>
              </w:rPr>
              <w:t>有现场文明施工计划和环境保护措施，且各项措施周全、具体、有效。根据响应程度计0-5分。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施工进度表或施工网络图，安排科学合理符合本项目施工实际要求。根据响应程度计0-5分。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有符合本项目工程的质量管理目标和质量管理制度、主要工序的质量技术保证措施和手段。措施是否完备齐全、先进、合理、切实可行。根据响应程度计0-6分；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人员齐备、专业配套、相关岗位证书齐全。 根据响应程度计0-6分。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安全管理人员配备合理，制度健全，各道工序安全技术措施针对性强，符合实际且满足要求措施是否完备齐全、先进、合理、切实可行。根据响应程度计0-5分。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