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版本号：HZGH-2026-02520260416001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渭南市华州区紧密型县域医共体服务能力提升(工程设计)采购项目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HZGH-2026-025</w:t>
      </w:r>
      <w:r>
        <w:br/>
      </w:r>
      <w:r>
        <w:br/>
      </w:r>
      <w:r>
        <w:br/>
      </w:r>
    </w:p>
    <w:p>
      <w:pPr>
        <w:pStyle w:val="null3"/>
        <w:jc w:val="center"/>
        <w:outlineLvl w:val="2"/>
      </w:pPr>
      <w:r>
        <w:rPr>
          <w:rFonts w:ascii="仿宋_GB2312" w:hAnsi="仿宋_GB2312" w:cs="仿宋_GB2312" w:eastAsia="仿宋_GB2312"/>
          <w:sz w:val="28"/>
          <w:b/>
        </w:rPr>
        <w:t>渭南市华州区人民医院</w:t>
      </w:r>
    </w:p>
    <w:p>
      <w:pPr>
        <w:pStyle w:val="null3"/>
        <w:jc w:val="center"/>
        <w:outlineLvl w:val="2"/>
      </w:pPr>
      <w:r>
        <w:rPr>
          <w:rFonts w:ascii="仿宋_GB2312" w:hAnsi="仿宋_GB2312" w:cs="仿宋_GB2312" w:eastAsia="仿宋_GB2312"/>
          <w:sz w:val="28"/>
          <w:b/>
        </w:rPr>
        <w:t>华招广和项目管理有限公司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华招广和项目管理有限公司</w:t>
      </w:r>
      <w:r>
        <w:rPr>
          <w:rFonts w:ascii="仿宋_GB2312" w:hAnsi="仿宋_GB2312" w:cs="仿宋_GB2312" w:eastAsia="仿宋_GB2312"/>
        </w:rPr>
        <w:t>（以下简称“代理机构”）受</w:t>
      </w:r>
      <w:r>
        <w:rPr>
          <w:rFonts w:ascii="仿宋_GB2312" w:hAnsi="仿宋_GB2312" w:cs="仿宋_GB2312" w:eastAsia="仿宋_GB2312"/>
        </w:rPr>
        <w:t>渭南市华州区人民医院</w:t>
      </w:r>
      <w:r>
        <w:rPr>
          <w:rFonts w:ascii="仿宋_GB2312" w:hAnsi="仿宋_GB2312" w:cs="仿宋_GB2312" w:eastAsia="仿宋_GB2312"/>
        </w:rPr>
        <w:t>委托，拟对</w:t>
      </w:r>
      <w:r>
        <w:rPr>
          <w:rFonts w:ascii="仿宋_GB2312" w:hAnsi="仿宋_GB2312" w:cs="仿宋_GB2312" w:eastAsia="仿宋_GB2312"/>
        </w:rPr>
        <w:t>渭南市华州区紧密型县域医共体服务能力提升(工程设计)采购项目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HZGH-2026-025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渭南市华州区紧密型县域医共体服务能力提升(工程设计)采购项目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渭南市华州区紧密型县域医共体服务能力提升(工程设计)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采购包1（渭南市华州区紧密型县域医共体服务能力提升(工程设计)采购项目）：属于专门面向中小企业采购。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1、营业执照：具有独立承担民事责任能力的法人、其他组织或自然人，提供供应商合法注册的法人或者其他组织的营业执照等证明文件、自然人的身份证明；</w:t>
      </w:r>
    </w:p>
    <w:p>
      <w:pPr>
        <w:pStyle w:val="null3"/>
      </w:pPr>
      <w:r>
        <w:rPr>
          <w:rFonts w:ascii="仿宋_GB2312" w:hAnsi="仿宋_GB2312" w:cs="仿宋_GB2312" w:eastAsia="仿宋_GB2312"/>
        </w:rPr>
        <w:t>2、财务状况报告：提供具有财务审计资质单位出具的2023年度或2024年度财务审计报告（成立时间至磋商时间不足一年的可提供成立后任意时段的资产负债表）或磋商前六个月内其基本账户银行出具的资信证明（附开户许可证或基本账户证明）或政府采购信用担保机构出具的磋商担保函；</w:t>
      </w:r>
    </w:p>
    <w:p>
      <w:pPr>
        <w:pStyle w:val="null3"/>
      </w:pPr>
      <w:r>
        <w:rPr>
          <w:rFonts w:ascii="仿宋_GB2312" w:hAnsi="仿宋_GB2312" w:cs="仿宋_GB2312" w:eastAsia="仿宋_GB2312"/>
        </w:rPr>
        <w:t>3、税收缴纳证明：提供2025年1月1日至今任意一个月已缴纳的纳税证明或完税证明（包含增值税、企业所得税、营业税至少一种）；（依法免税的投标人应提供相关文件证明）</w:t>
      </w:r>
    </w:p>
    <w:p>
      <w:pPr>
        <w:pStyle w:val="null3"/>
      </w:pPr>
      <w:r>
        <w:rPr>
          <w:rFonts w:ascii="仿宋_GB2312" w:hAnsi="仿宋_GB2312" w:cs="仿宋_GB2312" w:eastAsia="仿宋_GB2312"/>
        </w:rPr>
        <w:t>4、社会保障资金缴纳证明：提供2025年1月1日至今任意一个月的社保缴费凭据或社保机构开具的社会保险参保缴费情况证明；（依法不需要缴纳社会保障资金的投标人应提供相关证明）</w:t>
      </w:r>
    </w:p>
    <w:p>
      <w:pPr>
        <w:pStyle w:val="null3"/>
      </w:pPr>
      <w:r>
        <w:rPr>
          <w:rFonts w:ascii="仿宋_GB2312" w:hAnsi="仿宋_GB2312" w:cs="仿宋_GB2312" w:eastAsia="仿宋_GB2312"/>
        </w:rPr>
        <w:t>5、具有履行本合同所必需的设备和专业技术能力的说明及承诺：提供具有履行本合同所必需的设备和专业技术能力的说明及承诺；（格式自拟，加盖供应商公章）</w:t>
      </w:r>
    </w:p>
    <w:p>
      <w:pPr>
        <w:pStyle w:val="null3"/>
      </w:pPr>
      <w:r>
        <w:rPr>
          <w:rFonts w:ascii="仿宋_GB2312" w:hAnsi="仿宋_GB2312" w:cs="仿宋_GB2312" w:eastAsia="仿宋_GB2312"/>
        </w:rPr>
        <w:t>6、参加政府采购活动前三年内在经营活动中没有重大违法记录的书面声明：提供参加政府采购活动前三年内在经营活动中没有重大违法记录的书面声明。（格式自拟，加盖供应商公章）</w:t>
      </w:r>
    </w:p>
    <w:p>
      <w:pPr>
        <w:pStyle w:val="null3"/>
      </w:pPr>
      <w:r>
        <w:rPr>
          <w:rFonts w:ascii="仿宋_GB2312" w:hAnsi="仿宋_GB2312" w:cs="仿宋_GB2312" w:eastAsia="仿宋_GB2312"/>
        </w:rPr>
        <w:t>7、法定代表人或负责人资格证明书：法定代表人或负责人参与磋商时需提供法定代表人或负责人资格证明书（附法定代表人或负责人身份证复印件）；</w:t>
      </w:r>
    </w:p>
    <w:p>
      <w:pPr>
        <w:pStyle w:val="null3"/>
      </w:pPr>
      <w:r>
        <w:rPr>
          <w:rFonts w:ascii="仿宋_GB2312" w:hAnsi="仿宋_GB2312" w:cs="仿宋_GB2312" w:eastAsia="仿宋_GB2312"/>
        </w:rPr>
        <w:t>8、法定代表人或负责人授权委托书：被授权人参与磋商时，需提供法定代表人或负责人资格证明书、法定代表人或负责人授权委托书（附法定代表人或负责人及被授权人身份证复印件）；</w:t>
      </w:r>
    </w:p>
    <w:p>
      <w:pPr>
        <w:pStyle w:val="null3"/>
      </w:pPr>
      <w:r>
        <w:rPr>
          <w:rFonts w:ascii="仿宋_GB2312" w:hAnsi="仿宋_GB2312" w:cs="仿宋_GB2312" w:eastAsia="仿宋_GB2312"/>
        </w:rPr>
        <w:t>9、资质要求：供应商须具备工程设计综合资质甲级或建筑行业设计乙级及以上,或建筑行业（建筑工程）专业设计乙级及以上资质；</w:t>
      </w:r>
    </w:p>
    <w:p>
      <w:pPr>
        <w:pStyle w:val="null3"/>
      </w:pPr>
      <w:r>
        <w:rPr>
          <w:rFonts w:ascii="仿宋_GB2312" w:hAnsi="仿宋_GB2312" w:cs="仿宋_GB2312" w:eastAsia="仿宋_GB2312"/>
        </w:rPr>
        <w:t>10、拟派项目负责人：项目负责人须具备二级及以上注册建筑师执业资格，在本单位注册；</w:t>
      </w:r>
    </w:p>
    <w:p>
      <w:pPr>
        <w:pStyle w:val="null3"/>
      </w:pPr>
      <w:r>
        <w:rPr>
          <w:rFonts w:ascii="仿宋_GB2312" w:hAnsi="仿宋_GB2312" w:cs="仿宋_GB2312" w:eastAsia="仿宋_GB2312"/>
        </w:rPr>
        <w:t>11、磋商保证金交纳凭证或担保函：磋商保证金交纳凭证或担保函；（保证金交纳凭证复印件或担保函复印件加盖公章）</w:t>
      </w:r>
    </w:p>
    <w:p>
      <w:pPr>
        <w:pStyle w:val="null3"/>
      </w:pPr>
      <w:r>
        <w:rPr>
          <w:rFonts w:ascii="仿宋_GB2312" w:hAnsi="仿宋_GB2312" w:cs="仿宋_GB2312" w:eastAsia="仿宋_GB2312"/>
        </w:rPr>
        <w:t>12、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p>
    <w:p>
      <w:pPr>
        <w:pStyle w:val="null3"/>
      </w:pPr>
      <w:r>
        <w:rPr>
          <w:rFonts w:ascii="仿宋_GB2312" w:hAnsi="仿宋_GB2312" w:cs="仿宋_GB2312" w:eastAsia="仿宋_GB2312"/>
        </w:rPr>
        <w:t>13、单位负责人为同一人或者存在直接控股、管理关系的不同供应商，不得参加同一合同项下的政府采购活动：单位负责人为同一人或者存在直接控股、管理关系的不同供应商，不得参加同一合同项下的政府采购活动；（提供书面承诺函，格式自拟加盖供应商公章）</w:t>
      </w:r>
    </w:p>
    <w:p>
      <w:pPr>
        <w:pStyle w:val="null3"/>
      </w:pPr>
      <w:r>
        <w:rPr>
          <w:rFonts w:ascii="仿宋_GB2312" w:hAnsi="仿宋_GB2312" w:cs="仿宋_GB2312" w:eastAsia="仿宋_GB2312"/>
        </w:rPr>
        <w:t>14、本项目不接受联合体磋商：本项目不接受联合体磋商。（提供书面承诺函，格式自拟加盖供应商公章）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渭南市华州区子仪路东段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渭南市华州区人民医院经办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0913-4734003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华招广和项目管理有限公司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西安市雁塔区西部国际广场B座28楼2803室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029-87592321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华州区政府采购管理股经办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0913-4720669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开户名称：华招广和项目管理有限公司</w:t>
            </w:r>
          </w:p>
          <w:p>
            <w:pPr>
              <w:pStyle w:val="null3"/>
            </w:pPr>
            <w:r>
              <w:rPr>
                <w:rFonts w:ascii="仿宋_GB2312" w:hAnsi="仿宋_GB2312" w:cs="仿宋_GB2312" w:eastAsia="仿宋_GB2312"/>
              </w:rPr>
              <w:t>开户银行：中信银行西安朱雀南路支行</w:t>
            </w:r>
          </w:p>
          <w:p>
            <w:pPr>
              <w:pStyle w:val="null3"/>
            </w:pPr>
            <w:r>
              <w:rPr>
                <w:rFonts w:ascii="仿宋_GB2312" w:hAnsi="仿宋_GB2312" w:cs="仿宋_GB2312" w:eastAsia="仿宋_GB2312"/>
              </w:rPr>
              <w:t>银行账号：8111 7010 1190 0609 835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关于印发&lt;招标代理服务收费管理暂行办法&gt;的通知》(计价格〔2002〕1980号)、《国家发展改革委关于降低部分建设项目收费标准规范收费行为等有关问题的通知》(发改价格〔2011〕534号)以及财政部关于印发&lt;政府采购代理机构管 理暂行办法&gt;的通知》（财库〔2018〕2号）规定执行。 2、招标代理服务费应采用转账形式交纳。 3、收款账户如下：收款单位：华招广和项目管理有限公司,开户银行：中国建设银行股份有限公司西安金泰假日花城支行,银行账号：6105 0186 5800 0000 0059。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渭南市华州区人民医院</w:t>
      </w:r>
      <w:r>
        <w:rPr>
          <w:rFonts w:ascii="仿宋_GB2312" w:hAnsi="仿宋_GB2312" w:cs="仿宋_GB2312" w:eastAsia="仿宋_GB2312"/>
        </w:rPr>
        <w:t>和</w:t>
      </w:r>
      <w:r>
        <w:rPr>
          <w:rFonts w:ascii="仿宋_GB2312" w:hAnsi="仿宋_GB2312" w:cs="仿宋_GB2312" w:eastAsia="仿宋_GB2312"/>
        </w:rPr>
        <w:t>华招广和项目管理有限公司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华招广和项目管理有限公司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华招广和项目管理有限公司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联系人：秦工</w:t>
      </w:r>
    </w:p>
    <w:p>
      <w:pPr>
        <w:pStyle w:val="null3"/>
      </w:pPr>
      <w:r>
        <w:rPr>
          <w:rFonts w:ascii="仿宋_GB2312" w:hAnsi="仿宋_GB2312" w:cs="仿宋_GB2312" w:eastAsia="仿宋_GB2312"/>
        </w:rPr>
        <w:t>联系电话：029-87592321</w:t>
      </w:r>
    </w:p>
    <w:p>
      <w:pPr>
        <w:pStyle w:val="null3"/>
      </w:pPr>
      <w:r>
        <w:rPr>
          <w:rFonts w:ascii="仿宋_GB2312" w:hAnsi="仿宋_GB2312" w:cs="仿宋_GB2312" w:eastAsia="仿宋_GB2312"/>
        </w:rPr>
        <w:t>地址：西安市雁塔区西部国际广场B座28楼2803室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渭南市华州区紧密型县域医共体服务能力提升(工程设计)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730,000.00</w:t>
      </w:r>
    </w:p>
    <w:p>
      <w:pPr>
        <w:pStyle w:val="null3"/>
      </w:pPr>
      <w:r>
        <w:rPr>
          <w:rFonts w:ascii="仿宋_GB2312" w:hAnsi="仿宋_GB2312" w:cs="仿宋_GB2312" w:eastAsia="仿宋_GB2312"/>
        </w:rPr>
        <w:t>采购包最高限价（元）: 730,000.00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紧密型县域医共体服务能力提升工程设计类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标的名称：紧密型县域医共体服务能力提升工程设计类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b/>
              </w:rPr>
              <w:t>设计项目及地点</w:t>
            </w:r>
          </w:p>
          <w:p>
            <w:pPr>
              <w:pStyle w:val="null3"/>
              <w:ind w:firstLine="560"/>
              <w:jc w:val="left"/>
            </w:pPr>
            <w:r>
              <w:rPr>
                <w:rFonts w:ascii="仿宋_GB2312" w:hAnsi="仿宋_GB2312" w:cs="仿宋_GB2312" w:eastAsia="仿宋_GB2312"/>
              </w:rPr>
              <w:t>陕西省渭南市华州区辖区内，涵盖紧密型县域医共体建设地点：金堆分院用房建设、莲花寺疼痛医院、中药煎药中心用房、华州街道办社区卫生服务中心用房、肛肠医院用房。建筑面积如下：</w:t>
            </w:r>
          </w:p>
          <w:p>
            <w:pPr>
              <w:pStyle w:val="null3"/>
              <w:ind w:firstLine="560"/>
              <w:jc w:val="left"/>
            </w:pPr>
            <w:r>
              <w:rPr>
                <w:rFonts w:ascii="仿宋_GB2312" w:hAnsi="仿宋_GB2312" w:cs="仿宋_GB2312" w:eastAsia="仿宋_GB2312"/>
              </w:rPr>
              <w:t>1.金堆分院用房建设，2893.04㎡（新建）</w:t>
            </w:r>
          </w:p>
          <w:p>
            <w:pPr>
              <w:pStyle w:val="null3"/>
              <w:ind w:firstLine="560"/>
              <w:jc w:val="left"/>
            </w:pPr>
            <w:r>
              <w:rPr>
                <w:rFonts w:ascii="仿宋_GB2312" w:hAnsi="仿宋_GB2312" w:cs="仿宋_GB2312" w:eastAsia="仿宋_GB2312"/>
              </w:rPr>
              <w:t>2.莲花寺疼痛医院，1599.76㎡（改造）</w:t>
            </w:r>
          </w:p>
          <w:p>
            <w:pPr>
              <w:pStyle w:val="null3"/>
              <w:ind w:firstLine="560"/>
              <w:jc w:val="left"/>
            </w:pPr>
            <w:r>
              <w:rPr>
                <w:rFonts w:ascii="仿宋_GB2312" w:hAnsi="仿宋_GB2312" w:cs="仿宋_GB2312" w:eastAsia="仿宋_GB2312"/>
              </w:rPr>
              <w:t>3.中药煎药中心用房，636.6㎡（改造）</w:t>
            </w:r>
          </w:p>
          <w:p>
            <w:pPr>
              <w:pStyle w:val="null3"/>
              <w:ind w:firstLine="560"/>
              <w:jc w:val="left"/>
            </w:pPr>
            <w:r>
              <w:rPr>
                <w:rFonts w:ascii="仿宋_GB2312" w:hAnsi="仿宋_GB2312" w:cs="仿宋_GB2312" w:eastAsia="仿宋_GB2312"/>
              </w:rPr>
              <w:t>4.华州街道办社区卫生服务中心用房，1778.37㎡（改造）</w:t>
            </w:r>
          </w:p>
          <w:p>
            <w:pPr>
              <w:pStyle w:val="null3"/>
              <w:ind w:firstLine="560"/>
              <w:jc w:val="left"/>
            </w:pPr>
            <w:r>
              <w:rPr>
                <w:rFonts w:ascii="仿宋_GB2312" w:hAnsi="仿宋_GB2312" w:cs="仿宋_GB2312" w:eastAsia="仿宋_GB2312"/>
              </w:rPr>
              <w:t>5.肛肠医院用房，1410.54㎡（改造）</w:t>
            </w:r>
          </w:p>
          <w:p>
            <w:pPr>
              <w:pStyle w:val="null3"/>
            </w:pPr>
            <w:r>
              <w:rPr>
                <w:rFonts w:ascii="仿宋_GB2312" w:hAnsi="仿宋_GB2312" w:cs="仿宋_GB2312" w:eastAsia="仿宋_GB2312"/>
                <w:b/>
              </w:rPr>
              <w:t>二、设计范围及条件</w:t>
            </w:r>
          </w:p>
          <w:p>
            <w:pPr>
              <w:pStyle w:val="null3"/>
              <w:ind w:firstLine="560"/>
            </w:pPr>
            <w:r>
              <w:rPr>
                <w:rFonts w:ascii="仿宋_GB2312" w:hAnsi="仿宋_GB2312" w:cs="仿宋_GB2312" w:eastAsia="仿宋_GB2312"/>
              </w:rPr>
              <w:t>1.委托设计包括：建筑、结构、水暖电等专业内容。</w:t>
            </w:r>
          </w:p>
          <w:p>
            <w:pPr>
              <w:pStyle w:val="null3"/>
              <w:ind w:firstLine="560"/>
              <w:jc w:val="left"/>
            </w:pPr>
            <w:r>
              <w:rPr>
                <w:rFonts w:ascii="仿宋_GB2312" w:hAnsi="仿宋_GB2312" w:cs="仿宋_GB2312" w:eastAsia="仿宋_GB2312"/>
              </w:rPr>
              <w:t>2.医疗设备提升补全、区域医疗协同平台设备清单。</w:t>
            </w:r>
          </w:p>
          <w:p>
            <w:pPr>
              <w:pStyle w:val="null3"/>
              <w:ind w:firstLine="560"/>
            </w:pPr>
            <w:r>
              <w:rPr>
                <w:rFonts w:ascii="仿宋_GB2312" w:hAnsi="仿宋_GB2312" w:cs="仿宋_GB2312" w:eastAsia="仿宋_GB2312"/>
              </w:rPr>
              <w:t>3.各区域建筑室内外全套图纸（初步设计图册）文件（提交成果份数在设计合同约定）。</w:t>
            </w:r>
          </w:p>
          <w:p>
            <w:pPr>
              <w:pStyle w:val="null3"/>
              <w:ind w:firstLine="560"/>
            </w:pPr>
            <w:r>
              <w:rPr>
                <w:rFonts w:ascii="仿宋_GB2312" w:hAnsi="仿宋_GB2312" w:cs="仿宋_GB2312" w:eastAsia="仿宋_GB2312"/>
              </w:rPr>
              <w:t>4.委托初步设计设计（除金堆分院外）仅为一般改造设计。</w:t>
            </w:r>
          </w:p>
          <w:p>
            <w:pPr>
              <w:pStyle w:val="null3"/>
              <w:ind w:firstLine="560"/>
            </w:pPr>
            <w:r>
              <w:rPr>
                <w:rFonts w:ascii="仿宋_GB2312" w:hAnsi="仿宋_GB2312" w:cs="仿宋_GB2312" w:eastAsia="仿宋_GB2312"/>
              </w:rPr>
              <w:t>5.受委托方进行初步设计，设计依据为双方最终认可并通过的平面图纸为准。</w:t>
            </w:r>
          </w:p>
          <w:p>
            <w:pPr>
              <w:pStyle w:val="null3"/>
            </w:pPr>
            <w:r>
              <w:rPr>
                <w:rFonts w:ascii="仿宋_GB2312" w:hAnsi="仿宋_GB2312" w:cs="仿宋_GB2312" w:eastAsia="仿宋_GB2312"/>
                <w:b/>
              </w:rPr>
              <w:t>三、设计服务期</w:t>
            </w:r>
          </w:p>
          <w:p>
            <w:pPr>
              <w:pStyle w:val="null3"/>
              <w:ind w:firstLine="560"/>
            </w:pPr>
            <w:r>
              <w:rPr>
                <w:rFonts w:ascii="仿宋_GB2312" w:hAnsi="仿宋_GB2312" w:cs="仿宋_GB2312" w:eastAsia="仿宋_GB2312"/>
              </w:rPr>
              <w:t>1.本项目设计自合同签订之日起60日历天提交设计成果，设计服务至该工程竣工。</w:t>
            </w:r>
          </w:p>
          <w:p>
            <w:pPr>
              <w:pStyle w:val="null3"/>
              <w:ind w:firstLine="560"/>
            </w:pPr>
            <w:r>
              <w:rPr>
                <w:rFonts w:ascii="仿宋_GB2312" w:hAnsi="仿宋_GB2312" w:cs="仿宋_GB2312" w:eastAsia="仿宋_GB2312"/>
              </w:rPr>
              <w:t>2. 投标人需严格按照上述分阶段时间要求推进设计工作，确保各阶段设计成果按时提交，不得无故延期；若因招标人原因或不可抗力导致服务期延误，经双方书面确认后，服务期可相应顺延；</w:t>
            </w:r>
          </w:p>
          <w:p>
            <w:pPr>
              <w:pStyle w:val="null3"/>
              <w:ind w:firstLine="560"/>
            </w:pPr>
            <w:r>
              <w:rPr>
                <w:rFonts w:ascii="仿宋_GB2312" w:hAnsi="仿宋_GB2312" w:cs="仿宋_GB2312" w:eastAsia="仿宋_GB2312"/>
              </w:rPr>
              <w:t>3. 施工配合阶段，投标人需建立快速响应机制，接到技术咨询或现场指导需求后，尽快到达现场（特殊情况可协商调整），及时解决相关问题；</w:t>
            </w:r>
          </w:p>
          <w:p>
            <w:pPr>
              <w:pStyle w:val="null3"/>
              <w:ind w:firstLine="560"/>
            </w:pPr>
            <w:r>
              <w:rPr>
                <w:rFonts w:ascii="仿宋_GB2312" w:hAnsi="仿宋_GB2312" w:cs="仿宋_GB2312" w:eastAsia="仿宋_GB2312"/>
              </w:rPr>
              <w:t>4. 后续服务阶段，投标人需指定专人负责技术咨询对接，确保响应及时、解答专业。</w:t>
            </w:r>
          </w:p>
          <w:p>
            <w:pPr>
              <w:pStyle w:val="null3"/>
            </w:pPr>
            <w:r>
              <w:rPr>
                <w:rFonts w:ascii="仿宋_GB2312" w:hAnsi="仿宋_GB2312" w:cs="仿宋_GB2312" w:eastAsia="仿宋_GB2312"/>
                <w:b/>
              </w:rPr>
              <w:t>四、</w:t>
            </w:r>
            <w:r>
              <w:rPr>
                <w:rFonts w:ascii="仿宋_GB2312" w:hAnsi="仿宋_GB2312" w:cs="仿宋_GB2312" w:eastAsia="仿宋_GB2312"/>
                <w:b/>
              </w:rPr>
              <w:t>设计成果要求</w:t>
            </w:r>
            <w:r>
              <w:rPr>
                <w:rFonts w:ascii="仿宋_GB2312" w:hAnsi="仿宋_GB2312" w:cs="仿宋_GB2312" w:eastAsia="仿宋_GB2312"/>
                <w:b/>
              </w:rPr>
              <w:t>：</w:t>
            </w:r>
          </w:p>
          <w:p>
            <w:pPr>
              <w:pStyle w:val="null3"/>
              <w:ind w:firstLine="560"/>
            </w:pPr>
            <w:r>
              <w:rPr>
                <w:rFonts w:ascii="仿宋_GB2312" w:hAnsi="仿宋_GB2312" w:cs="仿宋_GB2312" w:eastAsia="仿宋_GB2312"/>
              </w:rPr>
              <w:t>1.投标人需提交的设计成果包括但不限于以下内容，需提供纸质版及电子版，电子版需采用PDF格式及可编辑格式，纸质版需装订成册。</w:t>
            </w:r>
          </w:p>
          <w:p>
            <w:pPr>
              <w:pStyle w:val="null3"/>
              <w:ind w:firstLine="560"/>
            </w:pPr>
            <w:r>
              <w:rPr>
                <w:rFonts w:ascii="仿宋_GB2312" w:hAnsi="仿宋_GB2312" w:cs="仿宋_GB2312" w:eastAsia="仿宋_GB2312"/>
              </w:rPr>
              <w:t>2. 成果要求完整性、准确性、规范性、可行性、合规性、针对性。</w:t>
            </w:r>
          </w:p>
          <w:p>
            <w:pPr>
              <w:pStyle w:val="null3"/>
              <w:ind w:firstLine="560"/>
            </w:pPr>
            <w:r>
              <w:rPr>
                <w:rFonts w:ascii="仿宋_GB2312" w:hAnsi="仿宋_GB2312" w:cs="仿宋_GB2312" w:eastAsia="仿宋_GB2312"/>
              </w:rPr>
              <w:t>3. 交付方式：纸质版成果需送达招标人指定地点，由招标人签收确认；电子版成果需通过指定网络渠道提交，确保文件完整、可打开、无损坏；</w:t>
            </w:r>
          </w:p>
          <w:p>
            <w:pPr>
              <w:pStyle w:val="null3"/>
            </w:pPr>
            <w:r>
              <w:rPr>
                <w:rFonts w:ascii="仿宋_GB2312" w:hAnsi="仿宋_GB2312" w:cs="仿宋_GB2312" w:eastAsia="仿宋_GB2312"/>
                <w:b/>
              </w:rPr>
              <w:t>五、质量要求：</w:t>
            </w:r>
          </w:p>
          <w:p>
            <w:pPr>
              <w:pStyle w:val="null3"/>
              <w:ind w:firstLine="560"/>
            </w:pPr>
            <w:r>
              <w:rPr>
                <w:rFonts w:ascii="仿宋_GB2312" w:hAnsi="仿宋_GB2312" w:cs="仿宋_GB2312" w:eastAsia="仿宋_GB2312"/>
              </w:rPr>
              <w:t>本项目设计成果质量需达到国家、陕西省、渭南市及华州区相关行业标准、技术规范及本任务书的要求，确保设计成果科学、合规、准确、完整、可行，通过招标人及相关主管部门的审核备案，无重大设计质量问题，能够切实指导项目实施，满足华州区紧密型县域医共体服务能力提升的实际需求。</w:t>
            </w:r>
          </w:p>
          <w:p>
            <w:pPr>
              <w:pStyle w:val="null3"/>
              <w:ind w:firstLine="560"/>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本项目设计自合同签订之日起60日历天提交设计成果，设计服务至该工程竣工。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项目履行完毕验收合格后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①本项目磋商一次，磋商后供应商根据磋商内容在规定的时间内通过交易系统递交磋商响应函，逾期未递交的视为自动放弃竞争。②本项目采用两轮报价，响应文件中的报价为首次报价，磋商后的报价为最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2023年度或2024年度财务审计报告（成立时间至磋商时间不足一年的可提供成立后任意时段的资产负债表）或磋商前六个月内其基本账户银行出具的资信证明（附开户许可证或基本账户证明）或政府采购信用担保机构出具的磋商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提供2025年1月1日至今任意一个月已缴纳的纳税证明或完税证明（包含增值税、企业所得税、营业税至少一种）；（依法免税的投标人应提供相关文件证明）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提供2025年1月1日至今任意一个月的社保缴费凭据或社保机构开具的社会保险参保缴费情况证明；（依法不需要缴纳社会保障资金的投标人应提供相关证明）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法定代表人或负责人资格证明书</w:t>
            </w:r>
          </w:p>
        </w:tc>
        <w:tc>
          <w:tcPr>
            <w:tcW w:type="dxa" w:w="3322"/>
          </w:tcPr>
          <w:p>
            <w:pPr>
              <w:pStyle w:val="null3"/>
            </w:pPr>
            <w:r>
              <w:rPr>
                <w:rFonts w:ascii="仿宋_GB2312" w:hAnsi="仿宋_GB2312" w:cs="仿宋_GB2312" w:eastAsia="仿宋_GB2312"/>
              </w:rPr>
              <w:t>法定代表人或负责人参与磋商时需提供法定代表人或负责人资格证明书（附法定代表人或负责人身份证复印件）；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被授权人参与磋商时，需提供法定代表人或负责人资格证明书、法定代表人或负责人授权委托书（附法定代表人或负责人及被授权人身份证复印件）；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供应商须具备工程设计综合资质甲级或建筑行业设计乙级及以上,或建筑行业（建筑工程）专业设计乙级及以上资质；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项目负责人须具备二级及以上注册建筑师执业资格，在本单位注册；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磋商保证金交纳凭证或担保函</w:t>
            </w:r>
          </w:p>
        </w:tc>
        <w:tc>
          <w:tcPr>
            <w:tcW w:type="dxa" w:w="3322"/>
          </w:tcPr>
          <w:p>
            <w:pPr>
              <w:pStyle w:val="null3"/>
            </w:pPr>
            <w:r>
              <w:rPr>
                <w:rFonts w:ascii="仿宋_GB2312" w:hAnsi="仿宋_GB2312" w:cs="仿宋_GB2312" w:eastAsia="仿宋_GB2312"/>
              </w:rPr>
              <w:t>磋商保证金交纳凭证或担保函；（保证金交纳凭证复印件或担保函复印件加盖公章）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单位负责人为同一人或者存在直接控股、管理关系的不同供应商，不得参加同一合同项下的政府采购活动；（提供书面承诺函，格式自拟加盖供应商公章）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本项目不接受联合体磋商。（提供书面承诺函，格式自拟加盖供应商公章）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磋商响应文件的计量单位、报价货币及签字盖章</w:t>
            </w:r>
          </w:p>
        </w:tc>
        <w:tc>
          <w:tcPr>
            <w:tcW w:type="dxa" w:w="3322"/>
          </w:tcPr>
          <w:p>
            <w:pPr>
              <w:pStyle w:val="null3"/>
            </w:pPr>
            <w:r>
              <w:rPr>
                <w:rFonts w:ascii="仿宋_GB2312" w:hAnsi="仿宋_GB2312" w:cs="仿宋_GB2312" w:eastAsia="仿宋_GB2312"/>
              </w:rPr>
              <w:t>磋商响应文件的计量单位、报价货币及签字盖章符合磋商文件要求</w:t>
            </w:r>
          </w:p>
        </w:tc>
        <w:tc>
          <w:tcPr>
            <w:tcW w:type="dxa" w:w="1661"/>
          </w:tcPr>
          <w:p>
            <w:pPr>
              <w:pStyle w:val="null3"/>
            </w:pPr>
            <w:r>
              <w:rPr>
                <w:rFonts w:ascii="仿宋_GB2312" w:hAnsi="仿宋_GB2312" w:cs="仿宋_GB2312" w:eastAsia="仿宋_GB2312"/>
              </w:rPr>
              <w:t>响应文件封面 分项报价表.docx 承诺书.docx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磋商响应文件的有效期满足磋商文件规定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投标报价是否超过采购预算或最高限价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满足采购文件规定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法律、法规和招标文件中规定的其他实质性要求</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包含①项目需求理解；②设计重点难点分析；③设计工作技术路线及方法；④项目设计目标。（二）评审标准：每一条评审内容不存在缺陷得4分，满分16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包含①项目质量保障体系；②质量管控要求；③项目成果质量保障。（二）评审标准：每一条评审内容不存在缺陷得4分，满分12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设计进度保障措施</w:t>
            </w:r>
          </w:p>
        </w:tc>
        <w:tc>
          <w:tcPr>
            <w:tcW w:type="dxa" w:w="2492"/>
          </w:tcPr>
          <w:p>
            <w:pPr>
              <w:pStyle w:val="null3"/>
            </w:pPr>
            <w:r>
              <w:rPr>
                <w:rFonts w:ascii="仿宋_GB2312" w:hAnsi="仿宋_GB2312" w:cs="仿宋_GB2312" w:eastAsia="仿宋_GB2312"/>
              </w:rPr>
              <w:t>（一）评审内容：包含①进度安排计划；②进度控制措施；③各个环节时间节点衔接保障措施。（二）评审标准：每一条评审内容不存在缺陷得4分，满分12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（一）评审内容：包含①施工配合阶段及验收的服务承诺；②保质保量完成的服务承诺；③配合后续事宜的服务承诺；④实施过程中风险评估应对的服务承诺。 （二）评审标准：每一条评审内容不存在缺陷得4分，满分16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成果质量保障措施</w:t>
            </w:r>
          </w:p>
        </w:tc>
        <w:tc>
          <w:tcPr>
            <w:tcW w:type="dxa" w:w="2492"/>
          </w:tcPr>
          <w:p>
            <w:pPr>
              <w:pStyle w:val="null3"/>
            </w:pPr>
            <w:r>
              <w:rPr>
                <w:rFonts w:ascii="仿宋_GB2312" w:hAnsi="仿宋_GB2312" w:cs="仿宋_GB2312" w:eastAsia="仿宋_GB2312"/>
              </w:rPr>
              <w:t>（一）评审内容：包含①成果编制规范的保障措施；②成果资料编制详细、完整的保障措施；③成功文件达到国家相关标准的保障措施。（二）评审标准：每一条评审内容不存在缺陷得4分，满分12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以合同复印件形式提供投标人2023年1月1日至今类似项目业绩，每份计1分，计满4分为止。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vMerge/>
          </w:tcPr>
          <w:p/>
        </w:tc>
        <w:tc>
          <w:tcPr>
            <w:tcW w:type="dxa" w:w="1661"/>
          </w:tcPr>
          <w:p>
            <w:pPr>
              <w:pStyle w:val="null3"/>
            </w:pPr>
            <w:r>
              <w:rPr>
                <w:rFonts w:ascii="仿宋_GB2312" w:hAnsi="仿宋_GB2312" w:cs="仿宋_GB2312" w:eastAsia="仿宋_GB2312"/>
              </w:rPr>
              <w:t>拟派项目组人员</w:t>
            </w:r>
          </w:p>
        </w:tc>
        <w:tc>
          <w:tcPr>
            <w:tcW w:type="dxa" w:w="2492"/>
          </w:tcPr>
          <w:p>
            <w:pPr>
              <w:pStyle w:val="null3"/>
            </w:pPr>
            <w:r>
              <w:rPr>
                <w:rFonts w:ascii="仿宋_GB2312" w:hAnsi="仿宋_GB2312" w:cs="仿宋_GB2312" w:eastAsia="仿宋_GB2312"/>
              </w:rPr>
              <w:t>拟派本项目的组织管理团队健全,分工明确，岗位责任制强，项目负责人管理经验丰富能力高，能全面高效地完成本项目，根据人员设置及分工、分配的响应程度。 拟派项目管理团队健全,分工明确，岗位责任制强，项目负责人管理经验丰富能力高，能够充分满足本项目需求的得8分； 团队组建较完整，管理较合理，具备职责分工，有一定的服务经验，能够基本符合本项目需求的得6分； 团队组建一般，管理及分工仅进行相关描述，仅具有经验，但不足以证明能够胜任本项目的得4分； 团队组建不够合理，管理欠缺，未进行明确分工，无相关经验得2分； 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拟派项目组人员.docx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详见附件：拟派项目组人员.docx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详见附件：供应商认为有必要说明的事宜.docx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