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版本号：HZGH-2026-02120260403001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渭南市华州区2026年小麦“一喷三防”项目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HZGH-2026-021</w:t>
      </w:r>
      <w:r>
        <w:br/>
      </w:r>
      <w:r>
        <w:br/>
      </w:r>
      <w:r>
        <w:br/>
      </w:r>
    </w:p>
    <w:p>
      <w:pPr>
        <w:pStyle w:val="null3"/>
        <w:jc w:val="center"/>
        <w:outlineLvl w:val="2"/>
      </w:pPr>
      <w:r>
        <w:rPr>
          <w:rFonts w:ascii="仿宋_GB2312" w:hAnsi="仿宋_GB2312" w:cs="仿宋_GB2312" w:eastAsia="仿宋_GB2312"/>
          <w:sz w:val="28"/>
          <w:b/>
        </w:rPr>
        <w:t>渭南市华州区农业农村局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渭南市华州区农业农村局</w:t>
      </w:r>
      <w:r>
        <w:rPr>
          <w:rFonts w:ascii="仿宋_GB2312" w:hAnsi="仿宋_GB2312" w:cs="仿宋_GB2312" w:eastAsia="仿宋_GB2312"/>
        </w:rPr>
        <w:t>委托，拟对</w:t>
      </w:r>
      <w:r>
        <w:rPr>
          <w:rFonts w:ascii="仿宋_GB2312" w:hAnsi="仿宋_GB2312" w:cs="仿宋_GB2312" w:eastAsia="仿宋_GB2312"/>
        </w:rPr>
        <w:t>渭南市华州区2026年小麦“一喷三防”项目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渭南市华州区2026年小麦“一喷三防”项目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为提高小麦安全生产，本项目主要对小麦进行“一喷三防”药剂采购发放。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采购包1（渭南市华州区2026年小麦“一喷三防”项目）：属于专门面向中小企业采购。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1、营业执照：具有独立承担民事责任能力的法人、其他组织或自然人，提供供应商合法注册的法人或者其他组织的营业执照等证明文件、自然人的身份证明；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报告（成立时间至磋商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8、法定代表人或负责人授权委托书：被授权人参与投标时，需提供法定代表人或负责人资格证明书、法定代表人或负责人授权委托书（附法定代表人或负责人及被授权人身份证复印件）；</w:t>
      </w:r>
    </w:p>
    <w:p>
      <w:pPr>
        <w:pStyle w:val="null3"/>
      </w:pPr>
      <w:r>
        <w:rPr>
          <w:rFonts w:ascii="仿宋_GB2312" w:hAnsi="仿宋_GB2312" w:cs="仿宋_GB2312" w:eastAsia="仿宋_GB2312"/>
        </w:rPr>
        <w:t>9、资质要求：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p>
      <w:pPr>
        <w:pStyle w:val="null3"/>
      </w:pPr>
      <w:r>
        <w:rPr>
          <w:rFonts w:ascii="仿宋_GB2312" w:hAnsi="仿宋_GB2312" w:cs="仿宋_GB2312" w:eastAsia="仿宋_GB2312"/>
        </w:rPr>
        <w:t>10、保证金交纳凭证或担保函：投标保证金交纳凭证或担保函；（保证金交纳凭证复印件或担保函复印件加盖公章）</w:t>
      </w:r>
    </w:p>
    <w:p>
      <w:pPr>
        <w:pStyle w:val="null3"/>
      </w:pPr>
      <w:r>
        <w:rPr>
          <w:rFonts w:ascii="仿宋_GB2312" w:hAnsi="仿宋_GB2312" w:cs="仿宋_GB2312" w:eastAsia="仿宋_GB2312"/>
        </w:rPr>
        <w:t>11、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null3"/>
      </w:pPr>
      <w:r>
        <w:rPr>
          <w:rFonts w:ascii="仿宋_GB2312" w:hAnsi="仿宋_GB2312" w:cs="仿宋_GB2312" w:eastAsia="仿宋_GB2312"/>
        </w:rPr>
        <w:t>12、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13、本项目不接受联合体投标：本项目不接受联合体投标。（提供非联合体声明，格式自拟加盖投标人公章）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0913-4732996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华州区政府采购管理股经办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开户名称：华招广和项目管理有限公司</w:t>
            </w:r>
          </w:p>
          <w:p>
            <w:pPr>
              <w:pStyle w:val="null3"/>
            </w:pPr>
            <w:r>
              <w:rPr>
                <w:rFonts w:ascii="仿宋_GB2312" w:hAnsi="仿宋_GB2312" w:cs="仿宋_GB2312" w:eastAsia="仿宋_GB2312"/>
              </w:rPr>
              <w:t>开户银行：中信银行西安朱雀南路支行</w:t>
            </w:r>
          </w:p>
          <w:p>
            <w:pPr>
              <w:pStyle w:val="null3"/>
            </w:pPr>
            <w:r>
              <w:rPr>
                <w:rFonts w:ascii="仿宋_GB2312" w:hAnsi="仿宋_GB2312" w:cs="仿宋_GB2312" w:eastAsia="仿宋_GB2312"/>
              </w:rPr>
              <w:t>银行账号：8111 7010 1190 0609 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 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渭南市华州区农业农村局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为提高小麦安全生产，本项目主要对小麦进行“一喷三防”药剂采购发放。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小麦一喷三防药剂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标的名称：小麦一喷三防药剂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1、杀虫剂：</w:t>
            </w:r>
            <w:r>
              <w:rPr>
                <w:rFonts w:ascii="仿宋_GB2312" w:hAnsi="仿宋_GB2312" w:cs="仿宋_GB2312" w:eastAsia="仿宋_GB2312"/>
              </w:rPr>
              <w:t>7%</w:t>
            </w:r>
            <w:r>
              <w:rPr>
                <w:rFonts w:ascii="仿宋_GB2312" w:hAnsi="仿宋_GB2312" w:cs="仿宋_GB2312" w:eastAsia="仿宋_GB2312"/>
              </w:rPr>
              <w:t>高效氯氟氰菊酯微乳剂</w:t>
            </w:r>
          </w:p>
          <w:p>
            <w:pPr>
              <w:pStyle w:val="null3"/>
              <w:spacing w:before="105" w:after="105"/>
              <w:jc w:val="both"/>
            </w:pPr>
            <w:r>
              <w:rPr>
                <w:rFonts w:ascii="仿宋_GB2312" w:hAnsi="仿宋_GB2312" w:cs="仿宋_GB2312" w:eastAsia="仿宋_GB2312"/>
              </w:rPr>
              <w:t>包装规格：每袋</w:t>
            </w:r>
            <w:r>
              <w:rPr>
                <w:rFonts w:ascii="仿宋_GB2312" w:hAnsi="仿宋_GB2312" w:cs="仿宋_GB2312" w:eastAsia="仿宋_GB2312"/>
              </w:rPr>
              <w:t>≥20</w:t>
            </w:r>
            <w:r>
              <w:rPr>
                <w:rFonts w:ascii="仿宋_GB2312" w:hAnsi="仿宋_GB2312" w:cs="仿宋_GB2312" w:eastAsia="仿宋_GB2312"/>
              </w:rPr>
              <w:t>克，数量：</w:t>
            </w:r>
            <w:r>
              <w:rPr>
                <w:rFonts w:ascii="仿宋_GB2312" w:hAnsi="仿宋_GB2312" w:cs="仿宋_GB2312" w:eastAsia="仿宋_GB2312"/>
              </w:rPr>
              <w:t>20</w:t>
            </w:r>
            <w:r>
              <w:rPr>
                <w:rFonts w:ascii="仿宋_GB2312" w:hAnsi="仿宋_GB2312" w:cs="仿宋_GB2312" w:eastAsia="仿宋_GB2312"/>
              </w:rPr>
              <w:t>万袋</w:t>
            </w:r>
          </w:p>
          <w:p>
            <w:pPr>
              <w:pStyle w:val="null3"/>
              <w:spacing w:before="105" w:after="105"/>
              <w:jc w:val="both"/>
            </w:pPr>
            <w:r>
              <w:rPr>
                <w:rFonts w:ascii="仿宋_GB2312" w:hAnsi="仿宋_GB2312" w:cs="仿宋_GB2312" w:eastAsia="仿宋_GB2312"/>
              </w:rPr>
              <w:t>2、杀菌剂：</w:t>
            </w:r>
            <w:r>
              <w:rPr>
                <w:rFonts w:ascii="仿宋_GB2312" w:hAnsi="仿宋_GB2312" w:cs="仿宋_GB2312" w:eastAsia="仿宋_GB2312"/>
              </w:rPr>
              <w:t>30%</w:t>
            </w:r>
            <w:r>
              <w:rPr>
                <w:rFonts w:ascii="仿宋_GB2312" w:hAnsi="仿宋_GB2312" w:cs="仿宋_GB2312" w:eastAsia="仿宋_GB2312"/>
              </w:rPr>
              <w:t>己唑醇</w:t>
            </w:r>
            <w:r>
              <w:rPr>
                <w:rFonts w:ascii="仿宋_GB2312" w:hAnsi="仿宋_GB2312" w:cs="仿宋_GB2312" w:eastAsia="仿宋_GB2312"/>
              </w:rPr>
              <w:t>˙</w:t>
            </w:r>
            <w:r>
              <w:rPr>
                <w:rFonts w:ascii="仿宋_GB2312" w:hAnsi="仿宋_GB2312" w:cs="仿宋_GB2312" w:eastAsia="仿宋_GB2312"/>
              </w:rPr>
              <w:t>醚菌脂悬浮剂</w:t>
            </w:r>
          </w:p>
          <w:p>
            <w:pPr>
              <w:pStyle w:val="null3"/>
              <w:spacing w:before="105" w:after="105"/>
              <w:jc w:val="both"/>
            </w:pPr>
            <w:r>
              <w:rPr>
                <w:rFonts w:ascii="仿宋_GB2312" w:hAnsi="仿宋_GB2312" w:cs="仿宋_GB2312" w:eastAsia="仿宋_GB2312"/>
              </w:rPr>
              <w:t>包装规格：每袋</w:t>
            </w:r>
            <w:r>
              <w:rPr>
                <w:rFonts w:ascii="仿宋_GB2312" w:hAnsi="仿宋_GB2312" w:cs="仿宋_GB2312" w:eastAsia="仿宋_GB2312"/>
              </w:rPr>
              <w:t>≥10</w:t>
            </w:r>
            <w:r>
              <w:rPr>
                <w:rFonts w:ascii="仿宋_GB2312" w:hAnsi="仿宋_GB2312" w:cs="仿宋_GB2312" w:eastAsia="仿宋_GB2312"/>
              </w:rPr>
              <w:t>克，数量：</w:t>
            </w:r>
            <w:r>
              <w:rPr>
                <w:rFonts w:ascii="仿宋_GB2312" w:hAnsi="仿宋_GB2312" w:cs="仿宋_GB2312" w:eastAsia="仿宋_GB2312"/>
              </w:rPr>
              <w:t>20</w:t>
            </w:r>
            <w:r>
              <w:rPr>
                <w:rFonts w:ascii="仿宋_GB2312" w:hAnsi="仿宋_GB2312" w:cs="仿宋_GB2312" w:eastAsia="仿宋_GB2312"/>
              </w:rPr>
              <w:t>万袋</w:t>
            </w:r>
          </w:p>
          <w:p>
            <w:pPr>
              <w:pStyle w:val="null3"/>
              <w:spacing w:before="105" w:after="105"/>
              <w:jc w:val="both"/>
            </w:pPr>
            <w:r>
              <w:rPr>
                <w:rFonts w:ascii="仿宋_GB2312" w:hAnsi="仿宋_GB2312" w:cs="仿宋_GB2312" w:eastAsia="仿宋_GB2312"/>
              </w:rPr>
              <w:t>3、叶面肥：磷酸二氢钾（飞防级）</w:t>
            </w:r>
          </w:p>
          <w:p>
            <w:pPr>
              <w:pStyle w:val="null3"/>
              <w:spacing w:before="105" w:after="105"/>
              <w:jc w:val="both"/>
            </w:pPr>
            <w:r>
              <w:rPr>
                <w:rFonts w:ascii="仿宋_GB2312" w:hAnsi="仿宋_GB2312" w:cs="仿宋_GB2312" w:eastAsia="仿宋_GB2312"/>
              </w:rPr>
              <w:t>包装规格：每袋</w:t>
            </w:r>
            <w:r>
              <w:rPr>
                <w:rFonts w:ascii="仿宋_GB2312" w:hAnsi="仿宋_GB2312" w:cs="仿宋_GB2312" w:eastAsia="仿宋_GB2312"/>
              </w:rPr>
              <w:t>≥40</w:t>
            </w:r>
            <w:r>
              <w:rPr>
                <w:rFonts w:ascii="仿宋_GB2312" w:hAnsi="仿宋_GB2312" w:cs="仿宋_GB2312" w:eastAsia="仿宋_GB2312"/>
              </w:rPr>
              <w:t>克，数量：</w:t>
            </w:r>
            <w:r>
              <w:rPr>
                <w:rFonts w:ascii="仿宋_GB2312" w:hAnsi="仿宋_GB2312" w:cs="仿宋_GB2312" w:eastAsia="仿宋_GB2312"/>
              </w:rPr>
              <w:t>20</w:t>
            </w:r>
            <w:r>
              <w:rPr>
                <w:rFonts w:ascii="仿宋_GB2312" w:hAnsi="仿宋_GB2312" w:cs="仿宋_GB2312" w:eastAsia="仿宋_GB2312"/>
              </w:rPr>
              <w:t>万袋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合同签订后2个工作日之内交付完毕。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项目实施完成并验收后申请财政资金到位后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1、所供产品的规格、数量符合招标文件、供应商承诺及采购合同约定的要求。 2、所有产品均已运输至指定地点。 3.验收标准：按采购文件、投标文件及澄清函、项目检查情况等综合指标进行验收。各项指标均应符合验收标准及要求。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满足项目实施要求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被授权人参与投标时，需提供法定代表人或负责人资格证明书、法定代表人或负责人授权委托书（附法定代表人或负责人及被授权人身份证复印件）；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如为生产厂家的，须提供农药登记证、农药生产许可证或农药生产批准文件、农药标准证；投标人如为经销商的，须提供农药经营许可证及生产厂家的农药登记证、农药生产许可证或农药生产批准文件、农药标准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保证金交纳凭证或担保函</w:t>
            </w:r>
          </w:p>
        </w:tc>
        <w:tc>
          <w:tcPr>
            <w:tcW w:type="dxa" w:w="3322"/>
          </w:tcPr>
          <w:p>
            <w:pPr>
              <w:pStyle w:val="null3"/>
            </w:pPr>
            <w:r>
              <w:rPr>
                <w:rFonts w:ascii="仿宋_GB2312" w:hAnsi="仿宋_GB2312" w:cs="仿宋_GB2312" w:eastAsia="仿宋_GB2312"/>
              </w:rPr>
              <w:t>投标保证金交纳凭证或担保函；（保证金交纳凭证复印件或担保函复印件加盖公章）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本项目不接受联合体投标。（提供非联合体声明，格式自拟加盖投标人公章）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投标文件的数量、计量单位、报价货币及签字盖章</w:t>
            </w:r>
          </w:p>
        </w:tc>
        <w:tc>
          <w:tcPr>
            <w:tcW w:type="dxa" w:w="3322"/>
          </w:tcPr>
          <w:p>
            <w:pPr>
              <w:pStyle w:val="null3"/>
            </w:pPr>
            <w:r>
              <w:rPr>
                <w:rFonts w:ascii="仿宋_GB2312" w:hAnsi="仿宋_GB2312" w:cs="仿宋_GB2312" w:eastAsia="仿宋_GB2312"/>
              </w:rPr>
              <w:t>投标文件的数量、计量单位、报价货币及签字盖章符合招标文件的要求。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分项报价表.docx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投标函 商务应答表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5分，不满足的本项不计分。满足招标文件的，投标人应提供佐证材料（不限于检测报告、官网截图、彩页、说明书等），佐证材料应编制在投标文件中，投标人自行承担因佐证材料不全而被视为技术参数不满足的风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项目实施方案：备货、供货进度及保证措施；拟投入本项目的人员安排及责任制度；安全保障措施；应急处理措施。 ①内容详细全面、架构完整、层次清楚、完善可行的计15分； ②实施方案内容包含全面，但未针对各项内容进行详细描述的计12分； ③保证措施内容不合理或责任管理制度不全面的计9分； ④针对以上方案要求，有1项欠缺或无欠缺仅有粗略框架，无具体针对性内容的计6分； ⑤有2项欠缺的计3分； ⑥有3项及以上欠缺的计1分； ⑦未提供相关内容的不计分。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能提供所投产品的合法来源渠道证明文件（不限于产品厂家授权、销售协议、代理协议等）的计5分，不提供或提供不全的不计分。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质量保证方案：所投产品制造厂家有可靠、完善的管理制度；有足够的检验能力；所投产品符合相关标准，有具体可行的质量保证承诺，保证使用人群熟练掌握本产品使用剂量等。 ①内容详细全面、完整、完善可行的计10分； ②内容包含全面，但未针对各项内容进行详细描述的计8分； ③管理制度不全面或不具备检验能力的计6分； ④针对以上要求，有1项欠缺或无欠缺仅有粗略框架，无具体针对性内容的计4分； ⑤有2项欠缺的计2分； ⑥ 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履约能力方案：具体包括资金筹措、仓储设施、运输工具、人员素质、管理水平等。 ①内容详细全面、完整、层次清楚、完善可行的计10分； ②内容包含全面，但未针对各项内容进行详细描述的计8分； ③承诺内容条理不清晰或不合理的计6分； ④针对以上方案要求，有1项欠缺或无欠缺仅有粗略框架，无具体针对性内容的计4分； ⑤有2项欠缺的计2分； ⑥有3项及以上欠缺的计1分； ⑦未提供相关内容的不计分。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提供投标人2023年1月1日至今类似项目业绩(以合同签订时间或中标通知书时间为准，复印件加盖单位公章),每提供一份得2分，满分6分。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售后服务方案：包括售后服务网点的设定、拟投入售后服务人员配置情况、项目交付用户后出现问题响应时间及措施，质量保证范围等。 ①内容详细全面、完整、完善可行的计13分； ②内容包含全面，但未针对各项内容进行详细描述的计11分； ③未明确售后服务的技术人员或响应时间不及时的计9分； ④针对以上要求，有1项欠缺或无欠缺仅有粗略框架，无具体针对性内容的计7分； ⑤有2项欠缺的计4分； ⑥有3项以上欠缺的计1分； ⑦未提供相关内容的不计分。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培训方案，能够让使用人群熟练掌握本产品使用剂量和方法，内容包含培训目标、内容、培训方式、培训计划、培训人员及培训地点等。 ①内容详细全面、层次清楚、完善可行的计6分； ②内容包含全面，但未针对各项内容进行详细描述的计4分； ③针对以上方案要求，有1项欠缺或只有书面承诺，缺少具体措施办法的计3分； ④针对以上方案要求，有2项欠缺的计2分； ⑤针对以上方案要求，有3项欠缺的计1分； ⑥未提供本项内容的不计分。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