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版本号：DS2025-CS-03120251029001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潼关县城市更新专项规划编制项目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DS2025-CS-031</w:t>
      </w:r>
      <w:r>
        <w:br/>
      </w:r>
      <w:r>
        <w:br/>
      </w:r>
      <w:r>
        <w:br/>
      </w:r>
    </w:p>
    <w:p>
      <w:pPr>
        <w:pStyle w:val="null3"/>
        <w:jc w:val="center"/>
        <w:outlineLvl w:val="2"/>
      </w:pPr>
      <w:r>
        <w:rPr>
          <w:rFonts w:ascii="仿宋_GB2312" w:hAnsi="仿宋_GB2312" w:cs="仿宋_GB2312" w:eastAsia="仿宋_GB2312"/>
          <w:sz w:val="28"/>
          <w:b/>
        </w:rPr>
        <w:t>潼关县住建局</w:t>
      </w:r>
    </w:p>
    <w:p>
      <w:pPr>
        <w:pStyle w:val="null3"/>
        <w:jc w:val="center"/>
        <w:outlineLvl w:val="2"/>
      </w:pPr>
      <w:r>
        <w:rPr>
          <w:rFonts w:ascii="仿宋_GB2312" w:hAnsi="仿宋_GB2312" w:cs="仿宋_GB2312" w:eastAsia="仿宋_GB2312"/>
          <w:sz w:val="28"/>
          <w:b/>
        </w:rPr>
        <w:t>陕西顶晟招标代理服务有限公司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陕西顶晟招标代理服务有限公司</w:t>
      </w:r>
      <w:r>
        <w:rPr>
          <w:rFonts w:ascii="仿宋_GB2312" w:hAnsi="仿宋_GB2312" w:cs="仿宋_GB2312" w:eastAsia="仿宋_GB2312"/>
        </w:rPr>
        <w:t>（以下简称“代理机构”）受</w:t>
      </w:r>
      <w:r>
        <w:rPr>
          <w:rFonts w:ascii="仿宋_GB2312" w:hAnsi="仿宋_GB2312" w:cs="仿宋_GB2312" w:eastAsia="仿宋_GB2312"/>
        </w:rPr>
        <w:t>潼关县住建局</w:t>
      </w:r>
      <w:r>
        <w:rPr>
          <w:rFonts w:ascii="仿宋_GB2312" w:hAnsi="仿宋_GB2312" w:cs="仿宋_GB2312" w:eastAsia="仿宋_GB2312"/>
        </w:rPr>
        <w:t>委托，拟对</w:t>
      </w:r>
      <w:r>
        <w:rPr>
          <w:rFonts w:ascii="仿宋_GB2312" w:hAnsi="仿宋_GB2312" w:cs="仿宋_GB2312" w:eastAsia="仿宋_GB2312"/>
        </w:rPr>
        <w:t>潼关县城市更新专项规划编制项目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DS2025-CS-031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潼关县城市更新专项规划编制项目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符合国土空间规划，按照《城市更新规划编制导则》，结合潼关县的现状情况和城市特色，明确城市更新重点任务，建立项目库。</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1、供应商特定资格要求：法定代表人直接参加磋商的提供法定代表人证明及其身份证；授权代表参与磋商的提供法定代表人授权书（附法定代表人及授权代表身份证）；非法人单位参照执行。</w:t>
      </w:r>
    </w:p>
    <w:p>
      <w:pPr>
        <w:pStyle w:val="null3"/>
      </w:pPr>
      <w:r>
        <w:rPr>
          <w:rFonts w:ascii="仿宋_GB2312" w:hAnsi="仿宋_GB2312" w:cs="仿宋_GB2312" w:eastAsia="仿宋_GB2312"/>
        </w:rPr>
        <w:t>2、供应商特定资格要求：供应商具备乙级及以上城乡规划编制资质，项目负责人具备注册城乡规划师资格。</w:t>
      </w:r>
    </w:p>
    <w:p>
      <w:pPr>
        <w:pStyle w:val="null3"/>
      </w:pPr>
      <w:r>
        <w:rPr>
          <w:rFonts w:ascii="仿宋_GB2312" w:hAnsi="仿宋_GB2312" w:cs="仿宋_GB2312" w:eastAsia="仿宋_GB2312"/>
        </w:rPr>
        <w:t>3、供应商特定资格要求：未被列入“信用中国”及“中国政府采购网”失信行为记录。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潼关县住建局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潼关县和平路南段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0913-3816828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陕西顶晟招标代理服务有限公司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陕西省西安市雁塔区科技西路2825号绿地鸿海大厦7幢20704室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刘姣姣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17309277028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潼关县政府采购管理股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刘涛</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18609239199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采购包1：468,000.00元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印发《招标代理服务收费管理暂行办法》的通知（计价格〔2002〕1980号）、《国家发展和改革委员会办公厅关于招标代理服务收费有关问题的通知》（发改办价格〔2003〕857号）及（发改办价格〔2011〕534号）规定服务类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潼关县住建局</w:t>
      </w:r>
      <w:r>
        <w:rPr>
          <w:rFonts w:ascii="仿宋_GB2312" w:hAnsi="仿宋_GB2312" w:cs="仿宋_GB2312" w:eastAsia="仿宋_GB2312"/>
        </w:rPr>
        <w:t>和</w:t>
      </w:r>
      <w:r>
        <w:rPr>
          <w:rFonts w:ascii="仿宋_GB2312" w:hAnsi="仿宋_GB2312" w:cs="仿宋_GB2312" w:eastAsia="仿宋_GB2312"/>
        </w:rPr>
        <w:t>陕西顶晟招标代理服务有限公司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潼关县住建局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陕西顶晟招标代理服务有限公司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潼关县住建局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陕西顶晟招标代理服务有限公司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满足采购需求中的技术参数与性能指标要求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陕西顶晟招标代理服务有限公司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陕西顶晟招标代理服务有限公司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陕西顶晟招标代理服务有限公司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联系人：刘姣姣</w:t>
      </w:r>
    </w:p>
    <w:p>
      <w:pPr>
        <w:pStyle w:val="null3"/>
      </w:pPr>
      <w:r>
        <w:rPr>
          <w:rFonts w:ascii="仿宋_GB2312" w:hAnsi="仿宋_GB2312" w:cs="仿宋_GB2312" w:eastAsia="仿宋_GB2312"/>
        </w:rPr>
        <w:t>联系电话：17309277028、029-84417297</w:t>
      </w:r>
    </w:p>
    <w:p>
      <w:pPr>
        <w:pStyle w:val="null3"/>
      </w:pPr>
      <w:r>
        <w:rPr>
          <w:rFonts w:ascii="仿宋_GB2312" w:hAnsi="仿宋_GB2312" w:cs="仿宋_GB2312" w:eastAsia="仿宋_GB2312"/>
        </w:rPr>
        <w:t>地址：陕西省西安市雁塔区科技西路2825号绿地鸿海大厦7幢20704室</w:t>
      </w:r>
    </w:p>
    <w:p>
      <w:pPr>
        <w:pStyle w:val="null3"/>
      </w:pPr>
      <w:r>
        <w:rPr>
          <w:rFonts w:ascii="仿宋_GB2312" w:hAnsi="仿宋_GB2312" w:cs="仿宋_GB2312" w:eastAsia="仿宋_GB2312"/>
        </w:rPr>
        <w:t>邮编：710086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符合国土空间规划，按照《城市更新规划编制导则》，结合潼关县的现状情况和城市特色，明确城市更新重点任务，建立项目库。</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468,000.00</w:t>
      </w:r>
    </w:p>
    <w:p>
      <w:pPr>
        <w:pStyle w:val="null3"/>
      </w:pPr>
      <w:r>
        <w:rPr>
          <w:rFonts w:ascii="仿宋_GB2312" w:hAnsi="仿宋_GB2312" w:cs="仿宋_GB2312" w:eastAsia="仿宋_GB2312"/>
        </w:rPr>
        <w:t>采购包最高限价（元）: 468,000.00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潼关县城市更新专项规划编制项目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468,000.00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标的名称：潼关县城市更新专项规划编制项目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16"/>
                <w:b/>
              </w:rPr>
              <w:t>一、</w:t>
            </w:r>
            <w:r>
              <w:rPr>
                <w:rFonts w:ascii="仿宋_GB2312" w:hAnsi="仿宋_GB2312" w:cs="仿宋_GB2312" w:eastAsia="仿宋_GB2312"/>
                <w:sz w:val="16"/>
                <w:b/>
              </w:rPr>
              <w:t>编制背景</w:t>
            </w:r>
            <w:r>
              <w:rPr>
                <w:rFonts w:ascii="仿宋_GB2312" w:hAnsi="仿宋_GB2312" w:cs="仿宋_GB2312" w:eastAsia="仿宋_GB2312"/>
                <w:sz w:val="16"/>
                <w:b/>
              </w:rPr>
              <w:t>：</w:t>
            </w:r>
          </w:p>
          <w:p>
            <w:pPr>
              <w:pStyle w:val="null3"/>
              <w:ind w:firstLine="480"/>
              <w:jc w:val="both"/>
            </w:pPr>
            <w:r>
              <w:rPr>
                <w:rFonts w:ascii="仿宋_GB2312" w:hAnsi="仿宋_GB2312" w:cs="仿宋_GB2312" w:eastAsia="仿宋_GB2312"/>
                <w:sz w:val="16"/>
              </w:rPr>
              <w:t>为落实中央、省、市关于城市更新的决策部署，依据《陕西省城市更新规划编制导则（试行）》及相关政策要求，开展</w:t>
            </w:r>
            <w:r>
              <w:rPr>
                <w:rFonts w:ascii="仿宋_GB2312" w:hAnsi="仿宋_GB2312" w:cs="仿宋_GB2312" w:eastAsia="仿宋_GB2312"/>
                <w:sz w:val="16"/>
              </w:rPr>
              <w:t>潼关</w:t>
            </w:r>
            <w:r>
              <w:rPr>
                <w:rFonts w:ascii="仿宋_GB2312" w:hAnsi="仿宋_GB2312" w:cs="仿宋_GB2312" w:eastAsia="仿宋_GB2312"/>
                <w:sz w:val="16"/>
              </w:rPr>
              <w:t>县城市更新规划编制工作。规划需衔接</w:t>
            </w:r>
            <w:r>
              <w:rPr>
                <w:rFonts w:ascii="仿宋_GB2312" w:hAnsi="仿宋_GB2312" w:cs="仿宋_GB2312" w:eastAsia="仿宋_GB2312"/>
                <w:sz w:val="16"/>
              </w:rPr>
              <w:t>潼关</w:t>
            </w:r>
            <w:r>
              <w:rPr>
                <w:rFonts w:ascii="仿宋_GB2312" w:hAnsi="仿宋_GB2312" w:cs="仿宋_GB2312" w:eastAsia="仿宋_GB2312"/>
                <w:sz w:val="16"/>
              </w:rPr>
              <w:t>县国土空间总体规划、国民经济和社会发展规划</w:t>
            </w:r>
            <w:r>
              <w:rPr>
                <w:rFonts w:ascii="仿宋_GB2312" w:hAnsi="仿宋_GB2312" w:cs="仿宋_GB2312" w:eastAsia="仿宋_GB2312"/>
                <w:sz w:val="16"/>
              </w:rPr>
              <w:t>等</w:t>
            </w:r>
            <w:r>
              <w:rPr>
                <w:rFonts w:ascii="仿宋_GB2312" w:hAnsi="仿宋_GB2312" w:cs="仿宋_GB2312" w:eastAsia="仿宋_GB2312"/>
                <w:sz w:val="16"/>
              </w:rPr>
              <w:t>，通过系统梳理城市发展短板，明确更新目标、重点任务与实施路径，形成可落地、可持续的规划成果，助力</w:t>
            </w:r>
            <w:r>
              <w:rPr>
                <w:rFonts w:ascii="仿宋_GB2312" w:hAnsi="仿宋_GB2312" w:cs="仿宋_GB2312" w:eastAsia="仿宋_GB2312"/>
                <w:sz w:val="16"/>
              </w:rPr>
              <w:t>潼关</w:t>
            </w:r>
            <w:r>
              <w:rPr>
                <w:rFonts w:ascii="仿宋_GB2312" w:hAnsi="仿宋_GB2312" w:cs="仿宋_GB2312" w:eastAsia="仿宋_GB2312"/>
                <w:sz w:val="16"/>
              </w:rPr>
              <w:t>县实现城市功能优化、品质提升与文脉传承。</w:t>
            </w:r>
          </w:p>
          <w:p>
            <w:pPr>
              <w:pStyle w:val="null3"/>
              <w:jc w:val="both"/>
            </w:pPr>
            <w:r>
              <w:rPr>
                <w:rFonts w:ascii="仿宋_GB2312" w:hAnsi="仿宋_GB2312" w:cs="仿宋_GB2312" w:eastAsia="仿宋_GB2312"/>
                <w:sz w:val="16"/>
                <w:b/>
              </w:rPr>
              <w:t>二、</w:t>
            </w:r>
            <w:r>
              <w:rPr>
                <w:rFonts w:ascii="仿宋_GB2312" w:hAnsi="仿宋_GB2312" w:cs="仿宋_GB2312" w:eastAsia="仿宋_GB2312"/>
                <w:sz w:val="16"/>
                <w:b/>
              </w:rPr>
              <w:t>服务内容及要求</w:t>
            </w:r>
            <w:r>
              <w:rPr>
                <w:rFonts w:ascii="仿宋_GB2312" w:hAnsi="仿宋_GB2312" w:cs="仿宋_GB2312" w:eastAsia="仿宋_GB2312"/>
                <w:sz w:val="16"/>
                <w:b/>
              </w:rPr>
              <w:t>：</w:t>
            </w:r>
          </w:p>
          <w:p>
            <w:pPr>
              <w:pStyle w:val="null3"/>
              <w:ind w:firstLine="480"/>
              <w:jc w:val="both"/>
            </w:pPr>
            <w:r>
              <w:rPr>
                <w:rFonts w:ascii="仿宋_GB2312" w:hAnsi="仿宋_GB2312" w:cs="仿宋_GB2312" w:eastAsia="仿宋_GB2312"/>
                <w:sz w:val="16"/>
              </w:rPr>
              <w:t>（</w:t>
            </w:r>
            <w:r>
              <w:rPr>
                <w:rFonts w:ascii="仿宋_GB2312" w:hAnsi="仿宋_GB2312" w:cs="仿宋_GB2312" w:eastAsia="仿宋_GB2312"/>
                <w:sz w:val="16"/>
              </w:rPr>
              <w:t>1）、规划衔接与基础调研</w:t>
            </w:r>
          </w:p>
          <w:p>
            <w:pPr>
              <w:pStyle w:val="null3"/>
              <w:ind w:firstLine="480"/>
              <w:jc w:val="both"/>
            </w:pPr>
            <w:r>
              <w:rPr>
                <w:rFonts w:ascii="仿宋_GB2312" w:hAnsi="仿宋_GB2312" w:cs="仿宋_GB2312" w:eastAsia="仿宋_GB2312"/>
                <w:sz w:val="16"/>
              </w:rPr>
              <w:t>需衔接潼关县城市体检成果，以</w:t>
            </w:r>
            <w:r>
              <w:rPr>
                <w:rFonts w:ascii="仿宋_GB2312" w:hAnsi="仿宋_GB2312" w:cs="仿宋_GB2312" w:eastAsia="仿宋_GB2312"/>
                <w:sz w:val="16"/>
              </w:rPr>
              <w:t>“先体检后更新、无体检不更新”为原则，将体检查找的住房、公共服务、基础设施等短板问题纳入规划重点。</w:t>
            </w:r>
          </w:p>
          <w:p>
            <w:pPr>
              <w:pStyle w:val="null3"/>
              <w:ind w:firstLine="480"/>
              <w:jc w:val="both"/>
            </w:pPr>
            <w:r>
              <w:rPr>
                <w:rFonts w:ascii="仿宋_GB2312" w:hAnsi="仿宋_GB2312" w:cs="仿宋_GB2312" w:eastAsia="仿宋_GB2312"/>
                <w:sz w:val="16"/>
              </w:rPr>
              <w:t>开展实地调研，涵盖土地权属、建筑质量、人口结构、历史文化资源、市政设施容量等内容，同步征求居民、产权人及市场主体的更新意愿，分析现状问题。</w:t>
            </w:r>
          </w:p>
          <w:p>
            <w:pPr>
              <w:pStyle w:val="null3"/>
              <w:ind w:firstLine="480"/>
              <w:jc w:val="both"/>
            </w:pPr>
            <w:r>
              <w:rPr>
                <w:rFonts w:ascii="仿宋_GB2312" w:hAnsi="仿宋_GB2312" w:cs="仿宋_GB2312" w:eastAsia="仿宋_GB2312"/>
                <w:sz w:val="16"/>
              </w:rPr>
              <w:t>（</w:t>
            </w:r>
            <w:r>
              <w:rPr>
                <w:rFonts w:ascii="仿宋_GB2312" w:hAnsi="仿宋_GB2312" w:cs="仿宋_GB2312" w:eastAsia="仿宋_GB2312"/>
                <w:sz w:val="16"/>
              </w:rPr>
              <w:t>2）、规划编制分层推进</w:t>
            </w:r>
          </w:p>
          <w:p>
            <w:pPr>
              <w:pStyle w:val="null3"/>
              <w:ind w:firstLine="480"/>
              <w:jc w:val="both"/>
            </w:pPr>
            <w:r>
              <w:rPr>
                <w:rFonts w:ascii="仿宋_GB2312" w:hAnsi="仿宋_GB2312" w:cs="仿宋_GB2312" w:eastAsia="仿宋_GB2312"/>
                <w:sz w:val="16"/>
              </w:rPr>
              <w:t>明确</w:t>
            </w:r>
            <w:r>
              <w:rPr>
                <w:rFonts w:ascii="仿宋_GB2312" w:hAnsi="仿宋_GB2312" w:cs="仿宋_GB2312" w:eastAsia="仿宋_GB2312"/>
                <w:sz w:val="16"/>
              </w:rPr>
              <w:t>5年总体目标与年度量化目标，聚焦既有建筑改造、老旧小区整治、完整社区建设、老旧街区改造、城市功能完善、城市基础设施建设改造、城市生态系统修复、保护传承城市历史文化等八大类重点任务，划定更新片区并进行城市设计与片区指引，建立项目库并明确实施时序与资金来源。</w:t>
            </w:r>
          </w:p>
          <w:p>
            <w:pPr>
              <w:pStyle w:val="null3"/>
              <w:ind w:firstLine="480"/>
              <w:jc w:val="both"/>
            </w:pPr>
            <w:r>
              <w:rPr>
                <w:rFonts w:ascii="仿宋_GB2312" w:hAnsi="仿宋_GB2312" w:cs="仿宋_GB2312" w:eastAsia="仿宋_GB2312"/>
                <w:sz w:val="16"/>
              </w:rPr>
              <w:t>（</w:t>
            </w:r>
            <w:r>
              <w:rPr>
                <w:rFonts w:ascii="仿宋_GB2312" w:hAnsi="仿宋_GB2312" w:cs="仿宋_GB2312" w:eastAsia="仿宋_GB2312"/>
                <w:sz w:val="16"/>
              </w:rPr>
              <w:t>3）、公众参与与成果论证</w:t>
            </w:r>
          </w:p>
          <w:p>
            <w:pPr>
              <w:pStyle w:val="null3"/>
              <w:ind w:firstLine="480"/>
              <w:jc w:val="both"/>
            </w:pPr>
            <w:r>
              <w:rPr>
                <w:rFonts w:ascii="仿宋_GB2312" w:hAnsi="仿宋_GB2312" w:cs="仿宋_GB2312" w:eastAsia="仿宋_GB2312"/>
                <w:sz w:val="16"/>
              </w:rPr>
              <w:t>规划编制过程中需组织至少</w:t>
            </w:r>
            <w:r>
              <w:rPr>
                <w:rFonts w:ascii="仿宋_GB2312" w:hAnsi="仿宋_GB2312" w:cs="仿宋_GB2312" w:eastAsia="仿宋_GB2312"/>
                <w:sz w:val="16"/>
              </w:rPr>
              <w:t>1次意见征集，收集意见并体现在规划成果中。</w:t>
            </w:r>
          </w:p>
          <w:p>
            <w:pPr>
              <w:pStyle w:val="null3"/>
              <w:ind w:firstLine="480"/>
              <w:jc w:val="both"/>
            </w:pPr>
            <w:r>
              <w:rPr>
                <w:rFonts w:ascii="仿宋_GB2312" w:hAnsi="仿宋_GB2312" w:cs="仿宋_GB2312" w:eastAsia="仿宋_GB2312"/>
                <w:sz w:val="16"/>
              </w:rPr>
              <w:t>成果需通过专家评审，邀请规划等相关领域专家对规划的科学性、可行性进行论证，形成评审意见备案。</w:t>
            </w:r>
          </w:p>
          <w:p>
            <w:pPr>
              <w:pStyle w:val="null3"/>
              <w:jc w:val="both"/>
            </w:pPr>
            <w:r>
              <w:rPr>
                <w:rFonts w:ascii="仿宋_GB2312" w:hAnsi="仿宋_GB2312" w:cs="仿宋_GB2312" w:eastAsia="仿宋_GB2312"/>
                <w:sz w:val="16"/>
                <w:b/>
              </w:rPr>
              <w:t>三、</w:t>
            </w:r>
            <w:r>
              <w:rPr>
                <w:rFonts w:ascii="仿宋_GB2312" w:hAnsi="仿宋_GB2312" w:cs="仿宋_GB2312" w:eastAsia="仿宋_GB2312"/>
                <w:sz w:val="16"/>
                <w:b/>
              </w:rPr>
              <w:t>规划目标</w:t>
            </w:r>
            <w:r>
              <w:rPr>
                <w:rFonts w:ascii="仿宋_GB2312" w:hAnsi="仿宋_GB2312" w:cs="仿宋_GB2312" w:eastAsia="仿宋_GB2312"/>
                <w:sz w:val="16"/>
                <w:b/>
              </w:rPr>
              <w:t>：</w:t>
            </w:r>
          </w:p>
          <w:p>
            <w:pPr>
              <w:pStyle w:val="null3"/>
              <w:ind w:firstLine="480"/>
              <w:jc w:val="both"/>
            </w:pPr>
            <w:r>
              <w:rPr>
                <w:rFonts w:ascii="仿宋_GB2312" w:hAnsi="仿宋_GB2312" w:cs="仿宋_GB2312" w:eastAsia="仿宋_GB2312"/>
                <w:sz w:val="16"/>
              </w:rPr>
              <w:t>通过实施城市更新行动，将潼关县打造成为生态环境友好、社会服务完善、宜居宜业宜游的新型现代化县城，实现城市的高质量发展。具体包括以下几个方面：优化空间布局、完善基础设施、</w:t>
            </w:r>
            <w:r>
              <w:rPr>
                <w:rFonts w:ascii="仿宋_GB2312" w:hAnsi="仿宋_GB2312" w:cs="仿宋_GB2312" w:eastAsia="仿宋_GB2312"/>
                <w:sz w:val="16"/>
              </w:rPr>
              <w:t>提升人居环境、彰显文化特色等。</w:t>
            </w:r>
          </w:p>
          <w:p>
            <w:pPr>
              <w:pStyle w:val="null3"/>
              <w:jc w:val="both"/>
            </w:pPr>
            <w:r>
              <w:rPr>
                <w:rFonts w:ascii="仿宋_GB2312" w:hAnsi="仿宋_GB2312" w:cs="仿宋_GB2312" w:eastAsia="仿宋_GB2312"/>
                <w:sz w:val="16"/>
                <w:b/>
              </w:rPr>
              <w:t>四、</w:t>
            </w:r>
            <w:r>
              <w:rPr>
                <w:rFonts w:ascii="仿宋_GB2312" w:hAnsi="仿宋_GB2312" w:cs="仿宋_GB2312" w:eastAsia="仿宋_GB2312"/>
                <w:sz w:val="16"/>
                <w:b/>
              </w:rPr>
              <w:t>成果要求</w:t>
            </w:r>
            <w:r>
              <w:rPr>
                <w:rFonts w:ascii="仿宋_GB2312" w:hAnsi="仿宋_GB2312" w:cs="仿宋_GB2312" w:eastAsia="仿宋_GB2312"/>
                <w:sz w:val="16"/>
                <w:b/>
              </w:rPr>
              <w:t>：</w:t>
            </w:r>
          </w:p>
          <w:p>
            <w:pPr>
              <w:pStyle w:val="null3"/>
              <w:ind w:firstLine="480"/>
              <w:jc w:val="both"/>
            </w:pPr>
            <w:r>
              <w:rPr>
                <w:rFonts w:ascii="仿宋_GB2312" w:hAnsi="仿宋_GB2312" w:cs="仿宋_GB2312" w:eastAsia="仿宋_GB2312"/>
                <w:sz w:val="16"/>
              </w:rPr>
              <w:t>城市更新专项规划编制成果应当包括规划文本、规划图表及其他支撑材料。</w:t>
            </w:r>
          </w:p>
          <w:p>
            <w:pPr>
              <w:pStyle w:val="null3"/>
              <w:ind w:firstLine="480"/>
              <w:jc w:val="both"/>
            </w:pPr>
            <w:r>
              <w:rPr>
                <w:rFonts w:ascii="仿宋_GB2312" w:hAnsi="仿宋_GB2312" w:cs="仿宋_GB2312" w:eastAsia="仿宋_GB2312"/>
                <w:sz w:val="16"/>
              </w:rPr>
              <w:t>(1)规划文本</w:t>
            </w:r>
          </w:p>
          <w:p>
            <w:pPr>
              <w:pStyle w:val="null3"/>
              <w:ind w:firstLine="480"/>
              <w:jc w:val="both"/>
            </w:pPr>
            <w:r>
              <w:rPr>
                <w:rFonts w:ascii="仿宋_GB2312" w:hAnsi="仿宋_GB2312" w:cs="仿宋_GB2312" w:eastAsia="仿宋_GB2312"/>
                <w:sz w:val="16"/>
              </w:rPr>
              <w:t>规划文本包括规划目标、重点任务、城市设计、片区指引、项目库、保障措施等。</w:t>
            </w:r>
          </w:p>
          <w:p>
            <w:pPr>
              <w:pStyle w:val="null3"/>
              <w:ind w:firstLine="480"/>
              <w:jc w:val="both"/>
            </w:pPr>
            <w:r>
              <w:rPr>
                <w:rFonts w:ascii="仿宋_GB2312" w:hAnsi="仿宋_GB2312" w:cs="仿宋_GB2312" w:eastAsia="仿宋_GB2312"/>
                <w:sz w:val="16"/>
              </w:rPr>
              <w:t>(2)规划图表</w:t>
            </w:r>
          </w:p>
          <w:p>
            <w:pPr>
              <w:pStyle w:val="null3"/>
              <w:ind w:firstLine="480"/>
              <w:jc w:val="both"/>
            </w:pPr>
            <w:r>
              <w:rPr>
                <w:rFonts w:ascii="仿宋_GB2312" w:hAnsi="仿宋_GB2312" w:cs="仿宋_GB2312" w:eastAsia="仿宋_GB2312"/>
                <w:sz w:val="16"/>
              </w:rPr>
              <w:t>规划图表包括更新对象分布图、更新任务规划图、城市设计引导图、更新片区划分图、更新片区指引图、更新项目实施计划表等。</w:t>
            </w:r>
          </w:p>
          <w:p>
            <w:pPr>
              <w:pStyle w:val="null3"/>
              <w:ind w:firstLine="480"/>
              <w:jc w:val="both"/>
            </w:pPr>
            <w:r>
              <w:rPr>
                <w:rFonts w:ascii="仿宋_GB2312" w:hAnsi="仿宋_GB2312" w:cs="仿宋_GB2312" w:eastAsia="仿宋_GB2312"/>
                <w:sz w:val="16"/>
              </w:rPr>
              <w:t>(3)其他支撑材料</w:t>
            </w:r>
          </w:p>
          <w:p>
            <w:pPr>
              <w:pStyle w:val="null3"/>
              <w:ind w:firstLine="480"/>
              <w:jc w:val="both"/>
            </w:pPr>
            <w:r>
              <w:rPr>
                <w:rFonts w:ascii="仿宋_GB2312" w:hAnsi="仿宋_GB2312" w:cs="仿宋_GB2312" w:eastAsia="仿宋_GB2312"/>
                <w:sz w:val="16"/>
              </w:rPr>
              <w:t>其他支撑材料包括城市体检报告、城市设计相关成果、专题研究、会议纪要、部门意见、专家论证意见等。</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根据采购需求内容提供团队人员，具体详见采购需求及评审细则。</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具有履行合同所必需的设施设备，满足项目需求。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1）服务范围：满足采购内容要求。2）服务要求：满足采购技术要求。3）服务标准：满足国家行业验收合格标准。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合同签订后30日历天内完成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采购人指定地方（潼关县）</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项目服务完成提交成果一次性付款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1.按照《中华人民共和国民法典》中的相关条款执行。 2.供应商未按合同约定提供货物服务或所提供的货物服务质量不能满足合同要求的，采购人有权终止合同，对采购人造成经济等损失的，采购人有权进行追责。</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成交人负责办理将货物或服务运抵交货服务地点的一切事项，并完成与合同履约相关的工作。凡涉及税金、售后服务、验收等，所有费用一次性计入投标总价。合同履约过程中采购人不再支付其他额外费用。2.涉及的商品包装和快递包装，均应符合《商品包装政府采购需求标准（试行）》《快递包装政府采购需求标准（试行）》的要求。3.售后响应时间：接到采购人售后要求后，2小时内远程响应，12小时内给出解决方案，若远程无法解决问题48小时内安排专人到达现场处理。4.供应商应保证投标服务及货物不会出现因第三方提出侵犯其专利权、商标权或其它知识产权而引发法律或经济纠纷，否则由供应商承担全部责任。任何被供应商用于未经授权的商业目的行为所造成的违约或侵权责任由供应商承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法人单位提供有效的营业执照等证明文件，非法人单位参照执行，自然人提供身份证明）；2）具有履行合同所必需的设备和专业技术能力；3）有依法缴纳税收和社会保障资金的良好记录税收缴纳证明；4）参加政府采购活动前三年内，在经营活动中没有重大违法记录；5）法律、行政法规规定的其他条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响应文件（格式）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响应文件（格式）</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响应文件（格式）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供应商特定资格要求</w:t>
            </w:r>
          </w:p>
        </w:tc>
        <w:tc>
          <w:tcPr>
            <w:tcW w:type="dxa" w:w="3322"/>
          </w:tcPr>
          <w:p>
            <w:pPr>
              <w:pStyle w:val="null3"/>
            </w:pPr>
            <w:r>
              <w:rPr>
                <w:rFonts w:ascii="仿宋_GB2312" w:hAnsi="仿宋_GB2312" w:cs="仿宋_GB2312" w:eastAsia="仿宋_GB2312"/>
              </w:rPr>
              <w:t>法定代表人直接参加磋商的提供法定代表人证明及其身份证；授权代表参与磋商的提供法定代表人授权书（附法定代表人及授权代表身份证）；非法人单位参照执行。</w:t>
            </w:r>
          </w:p>
        </w:tc>
        <w:tc>
          <w:tcPr>
            <w:tcW w:type="dxa" w:w="1661"/>
          </w:tcPr>
          <w:p>
            <w:pPr>
              <w:pStyle w:val="null3"/>
            </w:pPr>
            <w:r>
              <w:rPr>
                <w:rFonts w:ascii="仿宋_GB2312" w:hAnsi="仿宋_GB2312" w:cs="仿宋_GB2312" w:eastAsia="仿宋_GB2312"/>
              </w:rPr>
              <w:t>响应文件（格式）</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供应商特定资格要求</w:t>
            </w:r>
          </w:p>
        </w:tc>
        <w:tc>
          <w:tcPr>
            <w:tcW w:type="dxa" w:w="3322"/>
          </w:tcPr>
          <w:p>
            <w:pPr>
              <w:pStyle w:val="null3"/>
            </w:pPr>
            <w:r>
              <w:rPr>
                <w:rFonts w:ascii="仿宋_GB2312" w:hAnsi="仿宋_GB2312" w:cs="仿宋_GB2312" w:eastAsia="仿宋_GB2312"/>
              </w:rPr>
              <w:t>供应商具备乙级及以上城乡规划编制资质，项目负责人具备注册城乡规划师资格。</w:t>
            </w:r>
          </w:p>
        </w:tc>
        <w:tc>
          <w:tcPr>
            <w:tcW w:type="dxa" w:w="1661"/>
          </w:tcPr>
          <w:p>
            <w:pPr>
              <w:pStyle w:val="null3"/>
            </w:pPr>
            <w:r>
              <w:rPr>
                <w:rFonts w:ascii="仿宋_GB2312" w:hAnsi="仿宋_GB2312" w:cs="仿宋_GB2312" w:eastAsia="仿宋_GB2312"/>
              </w:rPr>
              <w:t>响应文件（格式）</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供应商特定资格要求</w:t>
            </w:r>
          </w:p>
        </w:tc>
        <w:tc>
          <w:tcPr>
            <w:tcW w:type="dxa" w:w="3322"/>
          </w:tcPr>
          <w:p>
            <w:pPr>
              <w:pStyle w:val="null3"/>
            </w:pPr>
            <w:r>
              <w:rPr>
                <w:rFonts w:ascii="仿宋_GB2312" w:hAnsi="仿宋_GB2312" w:cs="仿宋_GB2312" w:eastAsia="仿宋_GB2312"/>
              </w:rPr>
              <w:t>未被列入“信用中国”及“中国政府采购网”失信行为记录。</w:t>
            </w:r>
          </w:p>
        </w:tc>
        <w:tc>
          <w:tcPr>
            <w:tcW w:type="dxa" w:w="1661"/>
          </w:tcPr>
          <w:p>
            <w:pPr>
              <w:pStyle w:val="null3"/>
            </w:pPr>
            <w:r>
              <w:rPr>
                <w:rFonts w:ascii="仿宋_GB2312" w:hAnsi="仿宋_GB2312" w:cs="仿宋_GB2312" w:eastAsia="仿宋_GB2312"/>
              </w:rPr>
              <w:t>响应文件（格式）</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实质性要求</w:t>
            </w:r>
          </w:p>
        </w:tc>
        <w:tc>
          <w:tcPr>
            <w:tcW w:type="dxa" w:w="3322"/>
          </w:tcPr>
          <w:p>
            <w:pPr>
              <w:pStyle w:val="null3"/>
            </w:pPr>
            <w:r>
              <w:rPr>
                <w:rFonts w:ascii="仿宋_GB2312" w:hAnsi="仿宋_GB2312" w:cs="仿宋_GB2312" w:eastAsia="仿宋_GB2312"/>
              </w:rPr>
              <w:t>按磋商文件要求编制响应文件，满足磋商文件第二章实质性要求条款。</w:t>
            </w:r>
          </w:p>
        </w:tc>
        <w:tc>
          <w:tcPr>
            <w:tcW w:type="dxa" w:w="1661"/>
          </w:tcPr>
          <w:p>
            <w:pPr>
              <w:pStyle w:val="null3"/>
            </w:pPr>
            <w:r>
              <w:rPr>
                <w:rFonts w:ascii="仿宋_GB2312" w:hAnsi="仿宋_GB2312" w:cs="仿宋_GB2312" w:eastAsia="仿宋_GB2312"/>
              </w:rPr>
              <w:t>响应文件封面 响应文件（格式）</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响应报价唯一，且未超过采购预算或已设置的最高限价。</w:t>
            </w:r>
          </w:p>
        </w:tc>
        <w:tc>
          <w:tcPr>
            <w:tcW w:type="dxa" w:w="1661"/>
          </w:tcPr>
          <w:p>
            <w:pPr>
              <w:pStyle w:val="null3"/>
            </w:pPr>
            <w:r>
              <w:rPr>
                <w:rFonts w:ascii="仿宋_GB2312" w:hAnsi="仿宋_GB2312" w:cs="仿宋_GB2312" w:eastAsia="仿宋_GB2312"/>
              </w:rPr>
              <w:t>响应文件（格式）</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投标方案</w:t>
            </w:r>
          </w:p>
        </w:tc>
        <w:tc>
          <w:tcPr>
            <w:tcW w:type="dxa" w:w="3322"/>
          </w:tcPr>
          <w:p>
            <w:pPr>
              <w:pStyle w:val="null3"/>
            </w:pPr>
            <w:r>
              <w:rPr>
                <w:rFonts w:ascii="仿宋_GB2312" w:hAnsi="仿宋_GB2312" w:cs="仿宋_GB2312" w:eastAsia="仿宋_GB2312"/>
              </w:rPr>
              <w:t>投标方案唯一，不接受备选方案。</w:t>
            </w:r>
          </w:p>
        </w:tc>
        <w:tc>
          <w:tcPr>
            <w:tcW w:type="dxa" w:w="1661"/>
          </w:tcPr>
          <w:p>
            <w:pPr>
              <w:pStyle w:val="null3"/>
            </w:pPr>
            <w:r>
              <w:rPr>
                <w:rFonts w:ascii="仿宋_GB2312" w:hAnsi="仿宋_GB2312" w:cs="仿宋_GB2312" w:eastAsia="仿宋_GB2312"/>
              </w:rPr>
              <w:t>响应文件（格式）</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响应文件（格式）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项目整体服务方案</w:t>
            </w:r>
          </w:p>
        </w:tc>
        <w:tc>
          <w:tcPr>
            <w:tcW w:type="dxa" w:w="2492"/>
          </w:tcPr>
          <w:p>
            <w:pPr>
              <w:pStyle w:val="null3"/>
            </w:pPr>
            <w:r>
              <w:rPr>
                <w:rFonts w:ascii="仿宋_GB2312" w:hAnsi="仿宋_GB2312" w:cs="仿宋_GB2312" w:eastAsia="仿宋_GB2312"/>
              </w:rPr>
              <w:t>针对本项目提供的整体服务方案内容，包括但不限于： (1)服务思路(2)服务内容(3)服务方法(4)服务体系(5)服务响应机制(6)服务承诺等；以上(1)-(6)项内容齐全且无缺陷的得18分，每有一项内容缺项的扣3分;每存在一项缺陷的扣1分，扣完为止。无此项描述的不得分。 (“缺陷”是指以下任意一种情形：数据、名称、专业术语及符号、文字表述错误；或前后矛盾；或存在与采购情况无关的内容；或涉及的内容与本项目要求不一致;或提供方案与采购需求存在相互矛盾；或照搬其他内容里存在与本项目执行无关的内容；或只有简单复制粘贴需求内容而无描述。)</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w:t>
            </w:r>
          </w:p>
        </w:tc>
      </w:tr>
      <w:tr>
        <w:tc>
          <w:tcPr>
            <w:tcW w:type="dxa" w:w="831"/>
            <w:vMerge/>
          </w:tcP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针对本项目提供的对项目理解和热悉程度内容，包括但不限于: (1)目标任务(2)工作内容(3)重点、难点理解及分析等； 以上(1)-(3)项内容齐全且无缺陷的得12分，每有一项内容缺项的扣4分;每存在一项缺陷的扣1分，扣完为止。无此项描述的不得分。 (“缺陷”是指以下任意一种情形：数据、名称、专业术语及符号、文字表述错误；或前后矛后；或存在与采购情况无关的内容；或涉及的内容与本项目要求不一致;或提供方案与采购需求存在相互矛盾；或照搬其他内容里存在与本项目执行无关的内容；或只有简单复制粘贴需求内容而无描述。)</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w:t>
            </w:r>
          </w:p>
        </w:tc>
      </w:tr>
      <w:tr>
        <w:tc>
          <w:tcPr>
            <w:tcW w:type="dxa" w:w="831"/>
            <w:vMerge/>
          </w:tcPr>
          <w:p/>
        </w:tc>
        <w:tc>
          <w:tcPr>
            <w:tcW w:type="dxa" w:w="1661"/>
          </w:tcPr>
          <w:p>
            <w:pPr>
              <w:pStyle w:val="null3"/>
            </w:pPr>
            <w:r>
              <w:rPr>
                <w:rFonts w:ascii="仿宋_GB2312" w:hAnsi="仿宋_GB2312" w:cs="仿宋_GB2312" w:eastAsia="仿宋_GB2312"/>
              </w:rPr>
              <w:t>项目质量保障措施</w:t>
            </w:r>
          </w:p>
        </w:tc>
        <w:tc>
          <w:tcPr>
            <w:tcW w:type="dxa" w:w="2492"/>
          </w:tcPr>
          <w:p>
            <w:pPr>
              <w:pStyle w:val="null3"/>
            </w:pPr>
            <w:r>
              <w:rPr>
                <w:rFonts w:ascii="仿宋_GB2312" w:hAnsi="仿宋_GB2312" w:cs="仿宋_GB2312" w:eastAsia="仿宋_GB2312"/>
              </w:rPr>
              <w:t>针对本项目提供的质量保障措施内容，包括但不限于: (1)质量管理方案(2)质量管理机构及职责(3)质量保证措施(4)质量保障承诺; 以上(1)-(4)项内容齐全且无缺陷的得12分，每有一项内容缺项的扣3分;每存在一项缺陷的扣1分，扣完为止。无此项描述的不得分。 (“缺陷”是指以下任意一种情形：数据、名称、专业术语及符号、文字表述错误；或前后矛后；或存在与采购情况无关的内容；或涉及的内容与本项目要求不一致;或提供方案与采购需求存在相互矛盾；或照搬其他内容里存在与本项目执行无关的内容；或只有简单复制粘贴需求内容而无描述。)</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w:t>
            </w:r>
          </w:p>
        </w:tc>
      </w:tr>
      <w:tr>
        <w:tc>
          <w:tcPr>
            <w:tcW w:type="dxa" w:w="831"/>
            <w:vMerge/>
          </w:tcPr>
          <w:p/>
        </w:tc>
        <w:tc>
          <w:tcPr>
            <w:tcW w:type="dxa" w:w="1661"/>
          </w:tcPr>
          <w:p>
            <w:pPr>
              <w:pStyle w:val="null3"/>
            </w:pPr>
            <w:r>
              <w:rPr>
                <w:rFonts w:ascii="仿宋_GB2312" w:hAnsi="仿宋_GB2312" w:cs="仿宋_GB2312" w:eastAsia="仿宋_GB2312"/>
              </w:rPr>
              <w:t>项目进度安排、保证措施</w:t>
            </w:r>
          </w:p>
        </w:tc>
        <w:tc>
          <w:tcPr>
            <w:tcW w:type="dxa" w:w="2492"/>
          </w:tcPr>
          <w:p>
            <w:pPr>
              <w:pStyle w:val="null3"/>
            </w:pPr>
            <w:r>
              <w:rPr>
                <w:rFonts w:ascii="仿宋_GB2312" w:hAnsi="仿宋_GB2312" w:cs="仿宋_GB2312" w:eastAsia="仿宋_GB2312"/>
              </w:rPr>
              <w:t>针对本项目提供的进度安排及保障措施内容，包括但不限于: (1)进度计划(2)工作部署(3)各阶段实施流程(4)进度保障措施；以上(1)-(4)项内容齐全且无缺陷的得12分，每有一项内容缺项的扣3分;每存在一项缺陷的扣1分，扣完为止。无此项描述的不得分。 (“缺陷”是指以下任意一种情形：数据、名称、专业术语及符号、文字表述错误；或前后矛后；或存在与采购情况无关的内容；或涉及的内容与本项目要求不一致;或提供方案与采购需求存在相互矛盾；或照搬其他内容里存在与本项目执行无关的内容；或只有简单复制粘贴需求内容而无描述。)</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w:t>
            </w:r>
          </w:p>
        </w:tc>
      </w:tr>
      <w:tr>
        <w:tc>
          <w:tcPr>
            <w:tcW w:type="dxa" w:w="831"/>
            <w:vMerge/>
          </w:tcPr>
          <w:p/>
        </w:tc>
        <w:tc>
          <w:tcPr>
            <w:tcW w:type="dxa" w:w="1661"/>
          </w:tcPr>
          <w:p>
            <w:pPr>
              <w:pStyle w:val="null3"/>
            </w:pPr>
            <w:r>
              <w:rPr>
                <w:rFonts w:ascii="仿宋_GB2312" w:hAnsi="仿宋_GB2312" w:cs="仿宋_GB2312" w:eastAsia="仿宋_GB2312"/>
              </w:rPr>
              <w:t>项目合理化建议</w:t>
            </w:r>
          </w:p>
        </w:tc>
        <w:tc>
          <w:tcPr>
            <w:tcW w:type="dxa" w:w="2492"/>
          </w:tcPr>
          <w:p>
            <w:pPr>
              <w:pStyle w:val="null3"/>
            </w:pPr>
            <w:r>
              <w:rPr>
                <w:rFonts w:ascii="仿宋_GB2312" w:hAnsi="仿宋_GB2312" w:cs="仿宋_GB2312" w:eastAsia="仿宋_GB2312"/>
              </w:rPr>
              <w:t>供应商结合自身技术优势，充分考虑用户的需求发展，提出创新、创优等合理化建议，每条有实质性的合理化建议的得2分，最多6分。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w:t>
            </w:r>
          </w:p>
        </w:tc>
      </w:tr>
      <w:tr>
        <w:tc>
          <w:tcPr>
            <w:tcW w:type="dxa" w:w="831"/>
            <w:vMerge/>
          </w:tcPr>
          <w:p/>
        </w:tc>
        <w:tc>
          <w:tcPr>
            <w:tcW w:type="dxa" w:w="1661"/>
          </w:tcPr>
          <w:p>
            <w:pPr>
              <w:pStyle w:val="null3"/>
            </w:pPr>
            <w:r>
              <w:rPr>
                <w:rFonts w:ascii="仿宋_GB2312" w:hAnsi="仿宋_GB2312" w:cs="仿宋_GB2312" w:eastAsia="仿宋_GB2312"/>
              </w:rPr>
              <w:t>项目工期、服务承诺</w:t>
            </w:r>
          </w:p>
        </w:tc>
        <w:tc>
          <w:tcPr>
            <w:tcW w:type="dxa" w:w="2492"/>
          </w:tcPr>
          <w:p>
            <w:pPr>
              <w:pStyle w:val="null3"/>
            </w:pPr>
            <w:r>
              <w:rPr>
                <w:rFonts w:ascii="仿宋_GB2312" w:hAnsi="仿宋_GB2312" w:cs="仿宋_GB2312" w:eastAsia="仿宋_GB2312"/>
              </w:rPr>
              <w:t>工期保证、服务内容、承诺全面，对本项目有技术支持度及跟踪服务能力。 ①内容具体、完整、详细、全面、可行性强，得6分； ②内容较为具体、能满足项目需求，得3分； ③内容欠缺、薄弱、仅能满足项目需求，得1分；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w:t>
            </w:r>
          </w:p>
        </w:tc>
      </w:tr>
      <w:tr>
        <w:tc>
          <w:tcPr>
            <w:tcW w:type="dxa" w:w="831"/>
            <w:vMerge/>
          </w:tcPr>
          <w:p/>
        </w:tc>
        <w:tc>
          <w:tcPr>
            <w:tcW w:type="dxa" w:w="1661"/>
          </w:tcPr>
          <w:p>
            <w:pPr>
              <w:pStyle w:val="null3"/>
            </w:pPr>
            <w:r>
              <w:rPr>
                <w:rFonts w:ascii="仿宋_GB2312" w:hAnsi="仿宋_GB2312" w:cs="仿宋_GB2312" w:eastAsia="仿宋_GB2312"/>
              </w:rPr>
              <w:t>项目所需技术团队配备</w:t>
            </w:r>
          </w:p>
        </w:tc>
        <w:tc>
          <w:tcPr>
            <w:tcW w:type="dxa" w:w="2492"/>
          </w:tcPr>
          <w:p>
            <w:pPr>
              <w:pStyle w:val="null3"/>
            </w:pPr>
            <w:r>
              <w:rPr>
                <w:rFonts w:ascii="仿宋_GB2312" w:hAnsi="仿宋_GB2312" w:cs="仿宋_GB2312" w:eastAsia="仿宋_GB2312"/>
              </w:rPr>
              <w:t>拟派项目团队中每具有1名与本项目相关的高级职称或注册类证书的得3分，最高得12分。 注：提供人员职称证书或注册证书。项目负责人除外，未提供不得分。（提供复印件加盖公章）</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响应文件（格式）</w:t>
            </w:r>
          </w:p>
        </w:tc>
      </w:tr>
      <w:tr>
        <w:tc>
          <w:tcPr>
            <w:tcW w:type="dxa" w:w="831"/>
            <w:vMerge/>
          </w:tcPr>
          <w:p/>
        </w:tc>
        <w:tc>
          <w:tcPr>
            <w:tcW w:type="dxa" w:w="1661"/>
          </w:tcPr>
          <w:p>
            <w:pPr>
              <w:pStyle w:val="null3"/>
            </w:pPr>
            <w:r>
              <w:rPr>
                <w:rFonts w:ascii="仿宋_GB2312" w:hAnsi="仿宋_GB2312" w:cs="仿宋_GB2312" w:eastAsia="仿宋_GB2312"/>
              </w:rPr>
              <w:t>相关业绩</w:t>
            </w:r>
          </w:p>
        </w:tc>
        <w:tc>
          <w:tcPr>
            <w:tcW w:type="dxa" w:w="2492"/>
          </w:tcPr>
          <w:p>
            <w:pPr>
              <w:pStyle w:val="null3"/>
            </w:pPr>
            <w:r>
              <w:rPr>
                <w:rFonts w:ascii="仿宋_GB2312" w:hAnsi="仿宋_GB2312" w:cs="仿宋_GB2312" w:eastAsia="仿宋_GB2312"/>
              </w:rPr>
              <w:t>提供近三年（2022年1月至今）签署的同类项目业绩。每提供一项得4分（以加盖公章的中标通知书或合同复印件为准），满分12分。 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响应文件（格式）</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价格分采用低价优先法计算，即满足磋商文件要求且最后报价最低的供应商的价格为磋商基准价，其价格分为满分。其他供应商的价格分统一按照下列公式计算：磋商报价得分=10×（磋商基准价/最后磋商报价） 价格分计算：四舍五入，保留两位小数。</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响应文件（格式）</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响应文件（格式） 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详见附件：响应文件（格式）</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