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EA707">
      <w:pPr>
        <w:spacing w:line="360" w:lineRule="atLeast"/>
        <w:jc w:val="center"/>
        <w:rPr>
          <w:rFonts w:hint="eastAsia" w:ascii="宋体" w:hAnsi="宋体" w:eastAsia="宋体" w:cs="宋体"/>
          <w:kern w:val="0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</w:rPr>
        <w:t>投标方案说明</w:t>
      </w:r>
    </w:p>
    <w:p w14:paraId="263C2084">
      <w:pPr>
        <w:spacing w:line="360" w:lineRule="auto"/>
        <w:ind w:right="-46" w:firstLine="1205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4"/>
        </w:rPr>
        <w:t>投标人可根据招标文件的评审要素，自行组织完善投标方案内容。</w:t>
      </w:r>
    </w:p>
    <w:p w14:paraId="2C3CD8C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5523F"/>
    <w:rsid w:val="68C5523F"/>
    <w:rsid w:val="75C87D0F"/>
    <w:rsid w:val="7CB57E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2025-05-29T10:15:00Z</dcterms:created>
  <dc:creator>Administrator</dc:creator>
  <cp:lastModifiedBy>有点甜</cp:lastModifiedBy>
  <dcterms:modified xsi:type="dcterms:W3CDTF">2025-11-04T08:52:37Z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8042FD755A0943DB9BC2BC5581F42E63_13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