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版本号：政采-潼关县-2026-0000420260119001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潼关县北极小学迁建项目场地腾退拆除工程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政采-潼关县-2026-00004</w:t>
      </w:r>
      <w:r>
        <w:br/>
      </w:r>
      <w:r>
        <w:br/>
      </w:r>
      <w:r>
        <w:br/>
      </w:r>
    </w:p>
    <w:p>
      <w:pPr>
        <w:pStyle w:val="null3"/>
        <w:jc w:val="center"/>
        <w:outlineLvl w:val="2"/>
      </w:pPr>
      <w:r>
        <w:rPr>
          <w:rFonts w:ascii="仿宋_GB2312" w:hAnsi="仿宋_GB2312" w:cs="仿宋_GB2312" w:eastAsia="仿宋_GB2312"/>
          <w:sz w:val="28"/>
          <w:b/>
        </w:rPr>
        <w:t>潼关县城市管理执法局</w:t>
      </w:r>
    </w:p>
    <w:p>
      <w:pPr>
        <w:pStyle w:val="null3"/>
        <w:jc w:val="center"/>
        <w:outlineLvl w:val="2"/>
      </w:pPr>
      <w:r>
        <w:rPr>
          <w:rFonts w:ascii="仿宋_GB2312" w:hAnsi="仿宋_GB2312" w:cs="仿宋_GB2312" w:eastAsia="仿宋_GB2312"/>
          <w:sz w:val="28"/>
          <w:b/>
        </w:rPr>
        <w:t>潼关县政府采购中心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潼关县政府采购中心</w:t>
      </w:r>
      <w:r>
        <w:rPr>
          <w:rFonts w:ascii="仿宋_GB2312" w:hAnsi="仿宋_GB2312" w:cs="仿宋_GB2312" w:eastAsia="仿宋_GB2312"/>
        </w:rPr>
        <w:t>（以下简称“代理机构”）受</w:t>
      </w:r>
      <w:r>
        <w:rPr>
          <w:rFonts w:ascii="仿宋_GB2312" w:hAnsi="仿宋_GB2312" w:cs="仿宋_GB2312" w:eastAsia="仿宋_GB2312"/>
        </w:rPr>
        <w:t>潼关县城市管理执法局</w:t>
      </w:r>
      <w:r>
        <w:rPr>
          <w:rFonts w:ascii="仿宋_GB2312" w:hAnsi="仿宋_GB2312" w:cs="仿宋_GB2312" w:eastAsia="仿宋_GB2312"/>
        </w:rPr>
        <w:t>委托，拟对</w:t>
      </w:r>
      <w:r>
        <w:rPr>
          <w:rFonts w:ascii="仿宋_GB2312" w:hAnsi="仿宋_GB2312" w:cs="仿宋_GB2312" w:eastAsia="仿宋_GB2312"/>
        </w:rPr>
        <w:t>潼关县北极小学迁建项目场地腾退拆除工程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政采-潼关县-2026-00004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潼关县北极小学迁建项目场地腾退拆除工程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拆除潼关县公安局巡特警大队院内砖砌框架楼板混合结构办公楼、住宅楼、监舍、司法局等，拆除需含拆除、垃圾外运、拆除后现场清理、临设、清表，安全防护措施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采购包1（潼关县北极小学迁建项目场地腾退拆除工程）：属于专门面向中小企业采购。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2、供应商资质要求：须具备建设行政主管部门颁发的建筑工程施工总承包三级（含三级）及以上资质;具有建设行政主管部门颁发的安全生产许可证</w:t>
      </w:r>
    </w:p>
    <w:p>
      <w:pPr>
        <w:pStyle w:val="null3"/>
      </w:pPr>
      <w:r>
        <w:rPr>
          <w:rFonts w:ascii="仿宋_GB2312" w:hAnsi="仿宋_GB2312" w:cs="仿宋_GB2312" w:eastAsia="仿宋_GB2312"/>
        </w:rPr>
        <w:t>3、拟派项目负责人要求：拟派项目经理须具备建筑工程专业二级及以上注册建造师资格，具备有效的安全生产考核合格证(B证)，且无在建项目(提供无在建项目承诺书)</w:t>
      </w:r>
    </w:p>
    <w:p>
      <w:pPr>
        <w:pStyle w:val="null3"/>
      </w:pPr>
      <w:r>
        <w:rPr>
          <w:rFonts w:ascii="仿宋_GB2312" w:hAnsi="仿宋_GB2312" w:cs="仿宋_GB2312" w:eastAsia="仿宋_GB2312"/>
        </w:rPr>
        <w:t>4、供应商基本信息要求：供应商资质基本信息及项目项目负责人执业基本信息 应 在 “ 陕 西 省 住 房 和 城 乡 建 设 厅 网 （http://js.shaanxi.gov.cn/）-办事服务-企业库、人员库”可查询</w:t>
      </w:r>
    </w:p>
    <w:p>
      <w:pPr>
        <w:pStyle w:val="null3"/>
      </w:pPr>
      <w:r>
        <w:rPr>
          <w:rFonts w:ascii="仿宋_GB2312" w:hAnsi="仿宋_GB2312" w:cs="仿宋_GB2312" w:eastAsia="仿宋_GB2312"/>
        </w:rPr>
        <w:t>5、信用记录声明：供 应 商 不 得 为 “ 信 用 中 国 ” 网 站（www.creditchina.gov.cn）中列入失信被执行人 （ 页 面 跳 转 至 “ 中 国 执 行 信 息 公 开 网 ”http://zxgk.court.gov.cn/shixin/）和重大税收违法失信主体的供应商，不得为中国政府采购网（www.ccgp.gov.cn）政府采购严重违法失信行为记录名单中被财政部门禁止参加政府采购活动的供应商。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6、本项目不接受联合体投标，不允许分包：本项目不接受联合体投标，不允许分包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潼关县城市管理执法局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陕西省渭南市潼关县城关街道办尚德路北段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1869343479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潼关县政府采购中心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陕西省渭南市潼关县中心街西段财政局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王金琳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0913-3865339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潼关县政府采购管理股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南毅</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18309130933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采购包1：2,402,312.15元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潼关县城市管理执法局</w:t>
      </w:r>
      <w:r>
        <w:rPr>
          <w:rFonts w:ascii="仿宋_GB2312" w:hAnsi="仿宋_GB2312" w:cs="仿宋_GB2312" w:eastAsia="仿宋_GB2312"/>
        </w:rPr>
        <w:t>和</w:t>
      </w:r>
      <w:r>
        <w:rPr>
          <w:rFonts w:ascii="仿宋_GB2312" w:hAnsi="仿宋_GB2312" w:cs="仿宋_GB2312" w:eastAsia="仿宋_GB2312"/>
        </w:rPr>
        <w:t>潼关县政府采购中心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潼关县城市管理执法局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潼关县政府采购中心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潼关县城市管理执法局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潼关县政府采购中心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潼关县政府采购中心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潼关县政府采购中心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潼关县政府采购中心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联系人：王金琳</w:t>
      </w:r>
    </w:p>
    <w:p>
      <w:pPr>
        <w:pStyle w:val="null3"/>
      </w:pPr>
      <w:r>
        <w:rPr>
          <w:rFonts w:ascii="仿宋_GB2312" w:hAnsi="仿宋_GB2312" w:cs="仿宋_GB2312" w:eastAsia="仿宋_GB2312"/>
        </w:rPr>
        <w:t>联系电话：0913-3865339</w:t>
      </w:r>
    </w:p>
    <w:p>
      <w:pPr>
        <w:pStyle w:val="null3"/>
      </w:pPr>
      <w:r>
        <w:rPr>
          <w:rFonts w:ascii="仿宋_GB2312" w:hAnsi="仿宋_GB2312" w:cs="仿宋_GB2312" w:eastAsia="仿宋_GB2312"/>
        </w:rPr>
        <w:t>地址：潼关县中心大街西段</w:t>
      </w:r>
    </w:p>
    <w:p>
      <w:pPr>
        <w:pStyle w:val="null3"/>
      </w:pPr>
      <w:r>
        <w:rPr>
          <w:rFonts w:ascii="仿宋_GB2312" w:hAnsi="仿宋_GB2312" w:cs="仿宋_GB2312" w:eastAsia="仿宋_GB2312"/>
        </w:rPr>
        <w:t>邮编：714300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2,402,312.15</w:t>
      </w:r>
    </w:p>
    <w:p>
      <w:pPr>
        <w:pStyle w:val="null3"/>
      </w:pPr>
      <w:r>
        <w:rPr>
          <w:rFonts w:ascii="仿宋_GB2312" w:hAnsi="仿宋_GB2312" w:cs="仿宋_GB2312" w:eastAsia="仿宋_GB2312"/>
        </w:rPr>
        <w:t>采购包最高限价（元）: 2,402,312.15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潼关县北极小学迁建项目场地腾退拆除工程</w:t>
            </w:r>
          </w:p>
        </w:tc>
        <w:tc>
          <w:tcPr>
            <w:tcW w:type="dxa" w:w="1384"/>
          </w:tcPr>
          <w:p>
            <w:pPr>
              <w:pStyle w:val="null3"/>
              <w:jc w:val="right"/>
            </w:pPr>
            <w:r>
              <w:rPr>
                <w:rFonts w:ascii="仿宋_GB2312" w:hAnsi="仿宋_GB2312" w:cs="仿宋_GB2312" w:eastAsia="仿宋_GB2312"/>
              </w:rPr>
              <w:t>9,200.00</w:t>
            </w:r>
          </w:p>
        </w:tc>
        <w:tc>
          <w:tcPr>
            <w:tcW w:type="dxa" w:w="1384"/>
          </w:tcPr>
          <w:p>
            <w:pPr>
              <w:pStyle w:val="null3"/>
              <w:jc w:val="right"/>
            </w:pPr>
            <w:r>
              <w:rPr>
                <w:rFonts w:ascii="仿宋_GB2312" w:hAnsi="仿宋_GB2312" w:cs="仿宋_GB2312" w:eastAsia="仿宋_GB2312"/>
              </w:rPr>
              <w:t>2,402,312.15</w:t>
            </w:r>
          </w:p>
        </w:tc>
        <w:tc>
          <w:tcPr>
            <w:tcW w:type="dxa" w:w="1384"/>
          </w:tcPr>
          <w:p>
            <w:pPr>
              <w:pStyle w:val="null3"/>
            </w:pPr>
            <w:r>
              <w:rPr>
                <w:rFonts w:ascii="仿宋_GB2312" w:hAnsi="仿宋_GB2312" w:cs="仿宋_GB2312" w:eastAsia="仿宋_GB2312"/>
              </w:rPr>
              <w:t>平方米</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标的名称：潼关县北极小学迁建项目场地腾退拆除工程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b/>
                <w:color w:val="000000"/>
              </w:rPr>
              <w:t>一、项目概况</w:t>
            </w:r>
          </w:p>
          <w:p>
            <w:pPr>
              <w:pStyle w:val="null3"/>
            </w:pPr>
            <w:r>
              <w:rPr>
                <w:rFonts w:ascii="仿宋_GB2312" w:hAnsi="仿宋_GB2312" w:cs="仿宋_GB2312" w:eastAsia="仿宋_GB2312"/>
                <w:sz w:val="19"/>
                <w:color w:val="000000"/>
              </w:rPr>
              <w:t>拆除潼关县公安局巡特警大队院内砖砌框架楼板混合结构办公楼、住宅楼、监舍、司法局等，拆除需含拆除、垃圾外运、拆除后现场清理、临设、清表，安全防护措施。</w:t>
            </w:r>
          </w:p>
          <w:p>
            <w:pPr>
              <w:pStyle w:val="null3"/>
            </w:pPr>
            <w:r>
              <w:rPr>
                <w:rFonts w:ascii="仿宋_GB2312" w:hAnsi="仿宋_GB2312" w:cs="仿宋_GB2312" w:eastAsia="仿宋_GB2312"/>
                <w:sz w:val="19"/>
                <w:b/>
                <w:color w:val="000000"/>
              </w:rPr>
              <w:t>二、工程内容和施工地点、计划工期</w:t>
            </w:r>
          </w:p>
          <w:p>
            <w:pPr>
              <w:pStyle w:val="null3"/>
            </w:pPr>
            <w:r>
              <w:rPr>
                <w:rFonts w:ascii="仿宋_GB2312" w:hAnsi="仿宋_GB2312" w:cs="仿宋_GB2312" w:eastAsia="仿宋_GB2312"/>
                <w:sz w:val="19"/>
                <w:color w:val="000000"/>
              </w:rPr>
              <w:t>工程地点：渭南市潼关县中心大街东段。</w:t>
            </w:r>
          </w:p>
          <w:p>
            <w:pPr>
              <w:pStyle w:val="null3"/>
            </w:pPr>
            <w:r>
              <w:rPr>
                <w:rFonts w:ascii="仿宋_GB2312" w:hAnsi="仿宋_GB2312" w:cs="仿宋_GB2312" w:eastAsia="仿宋_GB2312"/>
                <w:sz w:val="19"/>
                <w:color w:val="000000"/>
              </w:rPr>
              <w:t>计划工期：自合同签订之日起15日历天。</w:t>
            </w:r>
          </w:p>
          <w:p>
            <w:pPr>
              <w:pStyle w:val="null3"/>
            </w:pPr>
            <w:r>
              <w:rPr>
                <w:rFonts w:ascii="仿宋_GB2312" w:hAnsi="仿宋_GB2312" w:cs="仿宋_GB2312" w:eastAsia="仿宋_GB2312"/>
                <w:sz w:val="19"/>
                <w:b/>
                <w:color w:val="000000"/>
              </w:rPr>
              <w:t>三、执行的法律法规、技术规范</w:t>
            </w:r>
          </w:p>
          <w:p>
            <w:pPr>
              <w:pStyle w:val="null3"/>
            </w:pPr>
            <w:r>
              <w:rPr>
                <w:rFonts w:ascii="仿宋_GB2312" w:hAnsi="仿宋_GB2312" w:cs="仿宋_GB2312" w:eastAsia="仿宋_GB2312"/>
                <w:sz w:val="19"/>
                <w:color w:val="000000"/>
              </w:rPr>
              <w:t>（一）执行的法律法规、技术规范包括但不限于以下规定、规范、标准：</w:t>
            </w:r>
          </w:p>
          <w:p>
            <w:pPr>
              <w:pStyle w:val="null3"/>
            </w:pPr>
            <w:r>
              <w:rPr>
                <w:rFonts w:ascii="仿宋_GB2312" w:hAnsi="仿宋_GB2312" w:cs="仿宋_GB2312" w:eastAsia="仿宋_GB2312"/>
                <w:sz w:val="19"/>
                <w:color w:val="000000"/>
              </w:rPr>
              <w:t>《安全生产法》</w:t>
            </w:r>
          </w:p>
          <w:p>
            <w:pPr>
              <w:pStyle w:val="null3"/>
            </w:pPr>
            <w:r>
              <w:rPr>
                <w:rFonts w:ascii="仿宋_GB2312" w:hAnsi="仿宋_GB2312" w:cs="仿宋_GB2312" w:eastAsia="仿宋_GB2312"/>
                <w:sz w:val="19"/>
                <w:color w:val="000000"/>
              </w:rPr>
              <w:t>《建设工程安全生产管理条例》</w:t>
            </w:r>
          </w:p>
          <w:p>
            <w:pPr>
              <w:pStyle w:val="null3"/>
            </w:pPr>
            <w:r>
              <w:rPr>
                <w:rFonts w:ascii="仿宋_GB2312" w:hAnsi="仿宋_GB2312" w:cs="仿宋_GB2312" w:eastAsia="仿宋_GB2312"/>
                <w:sz w:val="19"/>
                <w:color w:val="000000"/>
              </w:rPr>
              <w:t>（二）质量标准</w:t>
            </w:r>
          </w:p>
          <w:p>
            <w:pPr>
              <w:pStyle w:val="null3"/>
            </w:pPr>
            <w:r>
              <w:rPr>
                <w:rFonts w:ascii="仿宋_GB2312" w:hAnsi="仿宋_GB2312" w:cs="仿宋_GB2312" w:eastAsia="仿宋_GB2312"/>
                <w:sz w:val="19"/>
                <w:color w:val="000000"/>
              </w:rPr>
              <w:t xml:space="preserve">1、项目范围内的房屋及附属物全部采用湿法作业、机械拆除、拆迁现场无扬尘，严禁人工 </w:t>
            </w:r>
            <w:r>
              <w:rPr>
                <w:rFonts w:ascii="仿宋_GB2312" w:hAnsi="仿宋_GB2312" w:cs="仿宋_GB2312" w:eastAsia="仿宋_GB2312"/>
                <w:sz w:val="19"/>
                <w:color w:val="000000"/>
              </w:rPr>
              <w:t>拆除。垃圾清运全部采用机械清运的施工方法，严禁人工清运。</w:t>
            </w:r>
          </w:p>
          <w:p>
            <w:pPr>
              <w:pStyle w:val="null3"/>
            </w:pPr>
            <w:r>
              <w:rPr>
                <w:rFonts w:ascii="仿宋_GB2312" w:hAnsi="仿宋_GB2312" w:cs="仿宋_GB2312" w:eastAsia="仿宋_GB2312"/>
                <w:sz w:val="19"/>
                <w:color w:val="000000"/>
              </w:rPr>
              <w:t xml:space="preserve">2、拆除地上建筑物、构筑物及附属物，以及破除室内地坪全部建筑垃圾， </w:t>
            </w:r>
            <w:r>
              <w:rPr>
                <w:rFonts w:ascii="仿宋_GB2312" w:hAnsi="仿宋_GB2312" w:cs="仿宋_GB2312" w:eastAsia="仿宋_GB2312"/>
                <w:sz w:val="19"/>
                <w:color w:val="000000"/>
              </w:rPr>
              <w:t>严格按照城市管理部门指定的运输路线和倾倒场地清运，不得冒尖装栽、不得沿路抛洒。</w:t>
            </w:r>
          </w:p>
          <w:p>
            <w:pPr>
              <w:pStyle w:val="null3"/>
            </w:pPr>
            <w:r>
              <w:rPr>
                <w:rFonts w:ascii="仿宋_GB2312" w:hAnsi="仿宋_GB2312" w:cs="仿宋_GB2312" w:eastAsia="仿宋_GB2312"/>
                <w:sz w:val="19"/>
                <w:color w:val="000000"/>
              </w:rPr>
              <w:t xml:space="preserve">3、垃圾清运最终达到室内地坪以上全部垃圾清运完毕，现场无任何遗留物（最后以采购人、 </w:t>
            </w:r>
            <w:r>
              <w:rPr>
                <w:rFonts w:ascii="仿宋_GB2312" w:hAnsi="仿宋_GB2312" w:cs="仿宋_GB2312" w:eastAsia="仿宋_GB2312"/>
                <w:sz w:val="19"/>
                <w:color w:val="000000"/>
              </w:rPr>
              <w:t>中标人共同验收合格，签字确认为准）。且施工方要具有垃圾消纳的处置能力。</w:t>
            </w:r>
          </w:p>
          <w:p>
            <w:pPr>
              <w:pStyle w:val="null3"/>
            </w:pPr>
            <w:r>
              <w:rPr>
                <w:rFonts w:ascii="仿宋_GB2312" w:hAnsi="仿宋_GB2312" w:cs="仿宋_GB2312" w:eastAsia="仿宋_GB2312"/>
                <w:sz w:val="19"/>
                <w:color w:val="000000"/>
              </w:rPr>
              <w:t>4、质量要求：合格，中标人必须严格按照有关施工和验收规范进行施工，保证工程质量通过有关部门验收达到本工程的质量要求。</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1、项目范围内的房屋及附属物全部采用湿法作业、机械拆除、拆迁现场无扬尘，严禁人工 拆除。垃圾清运全部采用机械清运的施工方法，严禁人工清运。 2、拆除地上建筑物、构筑物及附属物，以及破除室内地坪全部建筑垃圾， 严格按照城市管理部门指定的运输路线和倾倒场地清运，不得冒尖装栽、不得沿路抛洒。 3、垃圾清运最终达到室内地坪以上全部垃圾清运完毕，现场无任何遗留物（最后以采购人、 中标人共同验收合格，签字确认为准）。且施工方要具有垃圾消纳的处置能力。 4、质量要求：合格，中标人必须严格按照有关施工和验收规范进行施工，保证工程质量通过有关部门验收达到本工程的质量要求。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本项目采购标的所属行业为：建筑业。（按照《工信部 国家统计局 发改委 财政部 工信部联企业》中小企业划型标准（〔2011〕300 号）规定：营业收入 80000 万元以下或资产总额 80000 万元以下的为中小微型企业。其中，营业收入 6000 万元及以上，且资产总额 5000 万元及以上的为中型企业；营业收入 300 万元及以上，且资产总额 300 万元及以上的为小型企业；营业收入 300万元以下或资产总额 300 万元以下的为微型企业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为保障政府采购电子化交易平台项目实施，投标人需要在线提交所有通过电子化交易平台实施的政府采购项目的投标文件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具有经审计资质单位出具的2024年度或2025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提供投标截止时间前一年内至少一个月的社会保障资金缴存凭证或社保机构开具的社会保险参保缴费情况证明，依法不需要缴纳社会保障资金的单位应提供相关证明材料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参加政府采购活动前三年内，经营活动中无重大违法记录声明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须具备建设行政主管部门颁发的建筑工程施工总承包三级（含三级）及以上资质;具有建设行政主管部门颁发的安全生产许可证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拟派项目经理须具备建筑工程专业二级及以上注册建造师资格，具备有效的安全生产考核合格证(B证)，且无在建项目(提供无在建项目承诺书)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供应商基本信息要求</w:t>
            </w:r>
          </w:p>
        </w:tc>
        <w:tc>
          <w:tcPr>
            <w:tcW w:type="dxa" w:w="3322"/>
          </w:tcPr>
          <w:p>
            <w:pPr>
              <w:pStyle w:val="null3"/>
            </w:pPr>
            <w:r>
              <w:rPr>
                <w:rFonts w:ascii="仿宋_GB2312" w:hAnsi="仿宋_GB2312" w:cs="仿宋_GB2312" w:eastAsia="仿宋_GB2312"/>
              </w:rPr>
              <w:t>供应商资质基本信息及项目项目负责人执业基本信息 应 在 “ 陕 西 省 住 房 和 城 乡 建 设 厅 网 （http://js.shaanxi.gov.cn/）-办事服务-企业库、人员库”可查询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供 应 商 不 得 为 “ 信 用 中 国 ” 网 站（www.creditchina.gov.cn）中列入失信被执行人 （ 页 面 跳 转 至 “ 中 国 执 行 信 息 公 开 网 ”http://zxgk.court.gov.cn/shixin/）和重大税收违法失信主体的供应商，不得为中国政府采购网（www.ccgp.gov.cn）政府采购严重违法失信行为记录名单中被财政部门禁止参加政府采购活动的供应商。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已标价工程量清单.docx 法定代表人身份证明、法定代表人授权委托书.docx 中小企业声明函 技术服务合同条款及其他商务要求应答表 供应商应提交的相关资格证明材料 施工组织设计.docx 供应商承诺书.docx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已标价工程量清单.docx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 顺序推荐。评审得分且最后报价且技术指标得分均相同的，由评标委员会不记名投票决定</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 2023 年 1 月 1 日以来类似项目业绩。以合同签订日期为准，并加盖供应商公章的合同关键页复印件为计分依据，每份合格业绩合同计2分，满分6分。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针对本项目①拆除施工②垃圾外运③现场清理等具体的施工方案。 2.评审标准： 完整性：内容须全面，对评审内容中的各项要求有详细描述； 可实施性：切合本项目实际情况，实施步骤清晰、合理； 针对性：方案能够紧扣项目实际情况，内容科学合理。 3、赋分标准： ①拆除施工：每完全满足一项评审标准得 2分，相对满足得 1分，不满足得 0 分，满分 6分； ②垃圾外运：每完全满足一项评审标准得2 分，相对满足得 1 分，不满足得 0 分，满分 6分； ③现场清理：每完全满足一项评审标准得2 分，相对满足得 1 分，不满足得 0 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针对本项目有确保工程质量的技术组织措施。 2、评审标准： 完整性：内容须全面，对评审内容中的各项要求有详细描述； 可实施性：切合本项目实际情况，实施步骤清晰、合理； 针对性：方案能够紧扣项目实际情况，内容科学合理。 3、赋分标准： 每完全满足一项评审标准得 2 分，相对满足得 1 分，不满足得 0 分，满分 6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1、评审内容： 供应商提供针对本项目的人员配备方案，包含：①项目部人员组成及架构；②劳动力保障措施。 2、评审标准： 完整性：内容须全面，对评审内容中的各项要求有详细描述； 可实施性：切合本项目实际情况，实施步骤清晰、合理； 针对性：方案能够紧扣项目实际情况，内容科学合理。 3、赋分标准： ①项目部人员组成及架构：每完全满足一项评审标准得 1 分，相对满足得0.5 分,分不满足得 0 分，满分 3分； ②劳动力保障措施：每完全满足一项评审标准得 1分，相对满足得 0.5 分,不满足得 0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确保工程的安全保证措施</w:t>
            </w:r>
          </w:p>
        </w:tc>
        <w:tc>
          <w:tcPr>
            <w:tcW w:type="dxa" w:w="2492"/>
          </w:tcPr>
          <w:p>
            <w:pPr>
              <w:pStyle w:val="null3"/>
            </w:pPr>
            <w:r>
              <w:rPr>
                <w:rFonts w:ascii="仿宋_GB2312" w:hAnsi="仿宋_GB2312" w:cs="仿宋_GB2312" w:eastAsia="仿宋_GB2312"/>
              </w:rPr>
              <w:t>1、评审内容： 投标人提供针对本项目的确保工程的安全保证措施 2、评审标准： 完整性：内容须全面，对评审内容中的各项要求有详细描述； 可实施性：切合本项目实际情况，实施步骤清晰、合理； 针对性：方案能够紧扣项目实际情况，内容科学合理。 3、赋分标准 每完全满足一项评审标准得 2分，相对满足得 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1、评审内容： 投标人提供针对本项目的确保文明施工的技术组织措施 2、评审标准： 完整性：内容须全面，对评审内容中的各项要求有详细描述； 可实施性：切合本项目实际情况，实施步骤清晰、合理； 针对性：方案能够紧扣项目实际情况，内容科学合理。 3、赋分标准： 每完全满足一项评审标准得 1.5 分，相对满足得 1分,不满足得0分，满分4.5分。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1、评审内容： 投标人提供针对本项目的确保环境保护的技术组织措施 2、评审标准： 完整性：内容须全面，对评审内容中的各项要求有详细描述； 可实施性：切合本项目实际情况，实施步骤清晰、合理； 针对性：方案能够紧扣项目实际情况，内容科学合理。 3、赋分标准： 每完全满足一项评审标准得 1.5 分，相对满足得 1分,不满足得0分，满分4.5分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拟投入主要施工机具、设备及劳动力配备情况</w:t>
            </w:r>
          </w:p>
        </w:tc>
        <w:tc>
          <w:tcPr>
            <w:tcW w:type="dxa" w:w="2492"/>
          </w:tcPr>
          <w:p>
            <w:pPr>
              <w:pStyle w:val="null3"/>
            </w:pPr>
            <w:r>
              <w:rPr>
                <w:rFonts w:ascii="仿宋_GB2312" w:hAnsi="仿宋_GB2312" w:cs="仿宋_GB2312" w:eastAsia="仿宋_GB2312"/>
              </w:rPr>
              <w:t>1、评审内容： 投标人提供针对本项目的拟投入主要施工机具、设备及劳动力配备情况 2、评审标准： 完整性：内容须全面，对评审内容中的各项要求有详细描述； 可实施性：切合本项目实际情况，实施步骤清晰、合理； 针对性：方案能够紧扣项目实际情况，内容科学合理。 3、赋分标准： 每完全满足一项评审标准得 1 分，相对满足得 0.5分,不满足得0分，满分3分。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1、评审内容： 投标人提供针对本项目的风险预防及应急预案 2、评审标准： 完整性：内容须全面，对评审内容中的各项要求有详细描述； 可实施性：切合本项目实际情况，实施步骤清晰、合理； 针对性：方案能够紧扣项目实际情况，内容科学合理。 3、赋分标准： 每完全满足一项评审标准得 1分，相对满足得0.5分,不满足得0分，满分3分。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治污减霾和防尘污染的技术组织措施</w:t>
            </w:r>
          </w:p>
        </w:tc>
        <w:tc>
          <w:tcPr>
            <w:tcW w:type="dxa" w:w="2492"/>
          </w:tcPr>
          <w:p>
            <w:pPr>
              <w:pStyle w:val="null3"/>
            </w:pPr>
            <w:r>
              <w:rPr>
                <w:rFonts w:ascii="仿宋_GB2312" w:hAnsi="仿宋_GB2312" w:cs="仿宋_GB2312" w:eastAsia="仿宋_GB2312"/>
              </w:rPr>
              <w:t>1、评审内容： 投标人提供针对本项目的治污减霾和防尘污染的技术组织措施 2、评审标准： 完整性：内容须全面，对评审内容中的各项要求有详细描述； 可实施性：切合本项目实际情况，实施步骤清晰、合理； 针对性：方案能够紧扣项目实际情况，内容科学合理。 3、赋分标准： 每完全满足一项评审标准得 1 分，相对满足得 0.5分,不满足得 0 分，满分 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 40分。 3.磋商报价得分=（磋商基准价/最终磋商报价）×100×40%的公式计算得分。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